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CD" w:rsidRPr="00916966" w:rsidRDefault="00860FCD" w:rsidP="00860FCD">
      <w:pPr>
        <w:pStyle w:val="1"/>
      </w:pPr>
      <w:r>
        <w:rPr>
          <w:rFonts w:hint="eastAsia"/>
        </w:rPr>
        <w:t>综合布线</w:t>
      </w:r>
      <w:r w:rsidRPr="008B7DFC">
        <w:rPr>
          <w:rFonts w:hint="eastAsia"/>
        </w:rPr>
        <w:t>系统安装</w:t>
      </w:r>
      <w:r>
        <w:rPr>
          <w:rFonts w:hint="eastAsia"/>
        </w:rPr>
        <w:t>要求</w:t>
      </w:r>
    </w:p>
    <w:p w:rsidR="00860FCD" w:rsidRPr="00976809" w:rsidRDefault="00860FCD" w:rsidP="00860FCD">
      <w:pPr>
        <w:pStyle w:val="3"/>
        <w:rPr>
          <w:rFonts w:ascii="Calibri" w:hAnsi="Calibri" w:cs="Arial"/>
          <w:color w:val="0000FF"/>
          <w:sz w:val="24"/>
          <w:szCs w:val="24"/>
        </w:rPr>
      </w:pPr>
      <w:bookmarkStart w:id="0" w:name="_Toc279683685"/>
      <w:bookmarkStart w:id="1" w:name="_Toc279758074"/>
      <w:r>
        <w:rPr>
          <w:rFonts w:ascii="Calibri" w:hAnsi="Calibri" w:cs="Arial" w:hint="eastAsia"/>
          <w:color w:val="0000FF"/>
          <w:sz w:val="24"/>
          <w:szCs w:val="24"/>
        </w:rPr>
        <w:t>1</w:t>
      </w:r>
      <w:r w:rsidRPr="00976809">
        <w:rPr>
          <w:rFonts w:ascii="Calibri" w:hAnsi="Calibri" w:cs="Arial"/>
          <w:color w:val="0000FF"/>
          <w:sz w:val="24"/>
          <w:szCs w:val="24"/>
        </w:rPr>
        <w:t>.1</w:t>
      </w:r>
      <w:r>
        <w:rPr>
          <w:rFonts w:ascii="Calibri" w:hAnsi="Calibri" w:cs="Arial" w:hint="eastAsia"/>
          <w:color w:val="0000FF"/>
          <w:sz w:val="24"/>
          <w:szCs w:val="24"/>
        </w:rPr>
        <w:t xml:space="preserve"> </w:t>
      </w:r>
      <w:r w:rsidRPr="00976809">
        <w:rPr>
          <w:rFonts w:ascii="Calibri" w:hAnsi="Calibri" w:cs="Arial"/>
          <w:color w:val="0000FF"/>
          <w:sz w:val="24"/>
          <w:szCs w:val="24"/>
        </w:rPr>
        <w:t>工作区安装</w:t>
      </w:r>
      <w:bookmarkEnd w:id="0"/>
      <w:bookmarkEnd w:id="1"/>
    </w:p>
    <w:p w:rsidR="00860FCD" w:rsidRPr="0076176D" w:rsidRDefault="00860FCD" w:rsidP="00860FCD">
      <w:pPr>
        <w:pStyle w:val="a5"/>
        <w:rPr>
          <w:szCs w:val="21"/>
          <w:lang w:eastAsia="zh-TW"/>
        </w:rPr>
      </w:pPr>
      <w:r w:rsidRPr="0076176D">
        <w:rPr>
          <w:rFonts w:hint="eastAsia"/>
          <w:szCs w:val="21"/>
        </w:rPr>
        <w:t>信息插座一般安装在墙面，使用</w:t>
      </w:r>
      <w:r w:rsidRPr="0076176D">
        <w:rPr>
          <w:szCs w:val="21"/>
        </w:rPr>
        <w:t>86</w:t>
      </w:r>
      <w:r w:rsidRPr="0076176D">
        <w:rPr>
          <w:rFonts w:hint="eastAsia"/>
          <w:szCs w:val="21"/>
        </w:rPr>
        <w:t>型加深金属暗装</w:t>
      </w:r>
      <w:r>
        <w:rPr>
          <w:rFonts w:hint="eastAsia"/>
          <w:szCs w:val="21"/>
        </w:rPr>
        <w:t>的</w:t>
      </w:r>
      <w:r w:rsidRPr="0076176D">
        <w:rPr>
          <w:rFonts w:hint="eastAsia"/>
          <w:szCs w:val="21"/>
        </w:rPr>
        <w:t>底盒或个别明装</w:t>
      </w:r>
      <w:r w:rsidRPr="0076176D">
        <w:rPr>
          <w:rFonts w:hint="eastAsia"/>
          <w:szCs w:val="21"/>
        </w:rPr>
        <w:t>86</w:t>
      </w:r>
      <w:r w:rsidRPr="0076176D">
        <w:rPr>
          <w:rFonts w:hint="eastAsia"/>
          <w:szCs w:val="21"/>
        </w:rPr>
        <w:t>型底盒。特殊场合，如大厅等考虑设置地插。</w:t>
      </w:r>
    </w:p>
    <w:p w:rsidR="00860FCD" w:rsidRDefault="00860FCD" w:rsidP="00860FCD">
      <w:pPr>
        <w:pStyle w:val="a5"/>
        <w:rPr>
          <w:szCs w:val="21"/>
        </w:rPr>
      </w:pPr>
      <w:r w:rsidRPr="0076176D">
        <w:rPr>
          <w:rFonts w:hint="eastAsia"/>
          <w:szCs w:val="21"/>
        </w:rPr>
        <w:t>信息插座与其旁边电源插座应保持</w:t>
      </w:r>
      <w:r w:rsidRPr="0076176D">
        <w:rPr>
          <w:b/>
          <w:color w:val="FF0000"/>
          <w:szCs w:val="21"/>
        </w:rPr>
        <w:t>20cm</w:t>
      </w:r>
      <w:r w:rsidRPr="0076176D">
        <w:rPr>
          <w:rFonts w:hint="eastAsia"/>
          <w:szCs w:val="21"/>
        </w:rPr>
        <w:t>的距离，信息插座和电源插座的低边</w:t>
      </w:r>
      <w:r>
        <w:rPr>
          <w:rFonts w:hint="eastAsia"/>
          <w:szCs w:val="21"/>
        </w:rPr>
        <w:t>的</w:t>
      </w:r>
      <w:r w:rsidRPr="0076176D">
        <w:rPr>
          <w:rFonts w:hint="eastAsia"/>
          <w:szCs w:val="21"/>
        </w:rPr>
        <w:t>沿线距地板水平面</w:t>
      </w:r>
      <w:r w:rsidRPr="0076176D">
        <w:rPr>
          <w:b/>
          <w:color w:val="FF0000"/>
          <w:szCs w:val="21"/>
        </w:rPr>
        <w:t>30cm</w:t>
      </w:r>
      <w:r w:rsidRPr="0076176D">
        <w:rPr>
          <w:rFonts w:hint="eastAsia"/>
          <w:szCs w:val="21"/>
        </w:rPr>
        <w:t>。</w:t>
      </w:r>
      <w:r>
        <w:rPr>
          <w:rFonts w:hint="eastAsia"/>
          <w:szCs w:val="21"/>
        </w:rPr>
        <w:t>如下图所示：</w:t>
      </w:r>
    </w:p>
    <w:p w:rsidR="00860FCD" w:rsidRPr="0076176D" w:rsidRDefault="00860FCD" w:rsidP="00860FCD">
      <w:pPr>
        <w:pStyle w:val="a5"/>
        <w:jc w:val="center"/>
        <w:rPr>
          <w:szCs w:val="21"/>
          <w:lang w:eastAsia="zh-TW"/>
        </w:rPr>
      </w:pPr>
      <w:r w:rsidRPr="005600DE">
        <w:rPr>
          <w:noProof/>
          <w:szCs w:val="21"/>
        </w:rPr>
        <w:drawing>
          <wp:inline distT="0" distB="0" distL="0" distR="0">
            <wp:extent cx="3359888" cy="1839638"/>
            <wp:effectExtent l="19050" t="0" r="0" b="0"/>
            <wp:docPr id="4" name="图片 38" descr="插座安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插座安装2.jpg"/>
                    <pic:cNvPicPr/>
                  </pic:nvPicPr>
                  <pic:blipFill>
                    <a:blip r:embed="rId7" cstate="print"/>
                    <a:stretch>
                      <a:fillRect/>
                    </a:stretch>
                  </pic:blipFill>
                  <pic:spPr>
                    <a:xfrm>
                      <a:off x="0" y="0"/>
                      <a:ext cx="3362103" cy="1839432"/>
                    </a:xfrm>
                    <a:prstGeom prst="rect">
                      <a:avLst/>
                    </a:prstGeom>
                  </pic:spPr>
                </pic:pic>
              </a:graphicData>
            </a:graphic>
          </wp:inline>
        </w:drawing>
      </w:r>
    </w:p>
    <w:p w:rsidR="00860FCD" w:rsidRDefault="00860FCD" w:rsidP="00860FCD">
      <w:pPr>
        <w:pStyle w:val="a5"/>
        <w:rPr>
          <w:szCs w:val="21"/>
        </w:rPr>
      </w:pPr>
    </w:p>
    <w:p w:rsidR="00860FCD" w:rsidRPr="0076176D" w:rsidRDefault="00860FCD" w:rsidP="00860FCD">
      <w:pPr>
        <w:pStyle w:val="a5"/>
        <w:rPr>
          <w:szCs w:val="21"/>
        </w:rPr>
      </w:pPr>
      <w:r w:rsidRPr="0076176D">
        <w:rPr>
          <w:rFonts w:hint="eastAsia"/>
          <w:szCs w:val="21"/>
        </w:rPr>
        <w:t>考虑到实际施工中有可能出现的问题，将对模块留有</w:t>
      </w:r>
      <w:r w:rsidRPr="0076176D">
        <w:rPr>
          <w:b/>
          <w:color w:val="FF0000"/>
          <w:szCs w:val="21"/>
        </w:rPr>
        <w:t>3%</w:t>
      </w:r>
      <w:r w:rsidRPr="0076176D">
        <w:rPr>
          <w:rFonts w:hint="eastAsia"/>
          <w:szCs w:val="21"/>
        </w:rPr>
        <w:t>的冗余。</w:t>
      </w:r>
    </w:p>
    <w:p w:rsidR="00860FCD" w:rsidRPr="0076176D" w:rsidRDefault="00860FCD" w:rsidP="00860FCD">
      <w:pPr>
        <w:pStyle w:val="a5"/>
        <w:rPr>
          <w:szCs w:val="21"/>
        </w:rPr>
      </w:pPr>
      <w:r w:rsidRPr="0076176D">
        <w:rPr>
          <w:rFonts w:hint="eastAsia"/>
          <w:szCs w:val="21"/>
        </w:rPr>
        <w:t>设计底盒</w:t>
      </w:r>
      <w:r>
        <w:rPr>
          <w:rFonts w:hint="eastAsia"/>
          <w:szCs w:val="21"/>
        </w:rPr>
        <w:t>安装</w:t>
      </w:r>
      <w:r w:rsidRPr="0076176D">
        <w:rPr>
          <w:rFonts w:hint="eastAsia"/>
          <w:szCs w:val="21"/>
        </w:rPr>
        <w:t>位置</w:t>
      </w:r>
      <w:r>
        <w:rPr>
          <w:rFonts w:hint="eastAsia"/>
          <w:szCs w:val="21"/>
        </w:rPr>
        <w:t>时，</w:t>
      </w:r>
      <w:r w:rsidRPr="0076176D">
        <w:rPr>
          <w:rFonts w:hint="eastAsia"/>
          <w:szCs w:val="21"/>
        </w:rPr>
        <w:t>要及时与室内装修队沟通，在室内装修前将底盒布放好，避免出现重复施</w:t>
      </w:r>
      <w:r>
        <w:rPr>
          <w:rFonts w:hint="eastAsia"/>
          <w:szCs w:val="21"/>
        </w:rPr>
        <w:t>工</w:t>
      </w:r>
      <w:r w:rsidRPr="0076176D">
        <w:rPr>
          <w:rFonts w:hint="eastAsia"/>
          <w:szCs w:val="21"/>
        </w:rPr>
        <w:t>、二次施工等现象。</w:t>
      </w:r>
    </w:p>
    <w:p w:rsidR="00860FCD" w:rsidRPr="0076176D" w:rsidRDefault="00860FCD" w:rsidP="00860FCD">
      <w:pPr>
        <w:pStyle w:val="a5"/>
        <w:ind w:firstLine="480"/>
        <w:rPr>
          <w:sz w:val="24"/>
        </w:rPr>
      </w:pPr>
    </w:p>
    <w:p w:rsidR="00860FCD" w:rsidRPr="00976809" w:rsidRDefault="00860FCD" w:rsidP="00860FCD">
      <w:pPr>
        <w:pStyle w:val="3"/>
        <w:rPr>
          <w:rFonts w:ascii="Calibri" w:hAnsi="Calibri" w:cs="Arial"/>
          <w:color w:val="0000FF"/>
          <w:sz w:val="24"/>
          <w:szCs w:val="24"/>
        </w:rPr>
      </w:pPr>
      <w:bookmarkStart w:id="2" w:name="_Toc279683686"/>
      <w:bookmarkStart w:id="3" w:name="_Toc279758075"/>
      <w:r>
        <w:rPr>
          <w:rFonts w:ascii="Calibri" w:hAnsi="Calibri" w:cs="Arial" w:hint="eastAsia"/>
          <w:color w:val="0000FF"/>
          <w:sz w:val="24"/>
          <w:szCs w:val="24"/>
        </w:rPr>
        <w:t>1</w:t>
      </w:r>
      <w:r w:rsidRPr="00976809">
        <w:rPr>
          <w:rFonts w:ascii="Calibri" w:hAnsi="Calibri" w:cs="Arial" w:hint="eastAsia"/>
          <w:color w:val="0000FF"/>
          <w:sz w:val="24"/>
          <w:szCs w:val="24"/>
        </w:rPr>
        <w:t>.2</w:t>
      </w:r>
      <w:r>
        <w:rPr>
          <w:rFonts w:ascii="Calibri" w:hAnsi="Calibri" w:cs="Arial" w:hint="eastAsia"/>
          <w:color w:val="0000FF"/>
          <w:sz w:val="24"/>
          <w:szCs w:val="24"/>
        </w:rPr>
        <w:t xml:space="preserve"> </w:t>
      </w:r>
      <w:r w:rsidRPr="00976809">
        <w:rPr>
          <w:rFonts w:ascii="Calibri" w:hAnsi="Calibri" w:cs="Arial" w:hint="eastAsia"/>
          <w:color w:val="0000FF"/>
          <w:sz w:val="24"/>
          <w:szCs w:val="24"/>
        </w:rPr>
        <w:t>垂直</w:t>
      </w:r>
      <w:r w:rsidRPr="00976809">
        <w:rPr>
          <w:rFonts w:ascii="Calibri" w:hAnsi="Calibri" w:cs="Arial" w:hint="eastAsia"/>
          <w:color w:val="0000FF"/>
          <w:sz w:val="24"/>
          <w:szCs w:val="24"/>
        </w:rPr>
        <w:t>/</w:t>
      </w:r>
      <w:r w:rsidRPr="00976809">
        <w:rPr>
          <w:rFonts w:ascii="Calibri" w:hAnsi="Calibri" w:cs="Arial" w:hint="eastAsia"/>
          <w:color w:val="0000FF"/>
          <w:sz w:val="24"/>
          <w:szCs w:val="24"/>
        </w:rPr>
        <w:t>水平布线安装</w:t>
      </w:r>
      <w:bookmarkEnd w:id="2"/>
      <w:bookmarkEnd w:id="3"/>
    </w:p>
    <w:p w:rsidR="00860FCD" w:rsidRPr="0076176D" w:rsidRDefault="00860FCD" w:rsidP="00860FCD">
      <w:pPr>
        <w:snapToGrid w:val="0"/>
        <w:spacing w:line="360" w:lineRule="auto"/>
        <w:ind w:leftChars="125" w:left="300" w:firstLineChars="250" w:firstLine="525"/>
        <w:rPr>
          <w:sz w:val="21"/>
          <w:szCs w:val="21"/>
        </w:rPr>
      </w:pPr>
      <w:r w:rsidRPr="0076176D">
        <w:rPr>
          <w:rFonts w:hint="eastAsia"/>
          <w:sz w:val="21"/>
          <w:szCs w:val="21"/>
        </w:rPr>
        <w:t>水平布线系统通常</w:t>
      </w:r>
      <w:r w:rsidRPr="0076176D">
        <w:rPr>
          <w:sz w:val="21"/>
          <w:szCs w:val="21"/>
        </w:rPr>
        <w:t>采用走吊顶的轻型槽型电缆桥架,而没有采用过线箱方式。因为这种方式更加适用于大型建筑物。为水平线缆提供机械保护和支持的装配式槽型电缆桥架，是一种闭合式金属桥架，安装在吊顶内，从弱电竖井引向设有信息点的房间，在由预埋在墙内的不同规格的铁管，将线路引到墙上的暗装铁盒内。</w:t>
      </w:r>
    </w:p>
    <w:p w:rsidR="00860FCD" w:rsidRPr="0076176D" w:rsidRDefault="00860FCD" w:rsidP="00860FCD">
      <w:pPr>
        <w:snapToGrid w:val="0"/>
        <w:spacing w:line="360" w:lineRule="auto"/>
        <w:ind w:leftChars="150" w:left="360" w:firstLineChars="200" w:firstLine="420"/>
        <w:rPr>
          <w:sz w:val="21"/>
          <w:szCs w:val="21"/>
        </w:rPr>
      </w:pPr>
      <w:r w:rsidRPr="0076176D">
        <w:rPr>
          <w:sz w:val="21"/>
          <w:szCs w:val="21"/>
        </w:rPr>
        <w:t>综合布线系统的水平布线是放射型的，线路量大，因此线槽容量的计算很重要，按照标准的线槽设计方法，应根据水平线缆的直径来确定线槽的容量，即</w:t>
      </w:r>
      <w:r w:rsidRPr="0076176D">
        <w:rPr>
          <w:rFonts w:hint="eastAsia"/>
          <w:sz w:val="21"/>
          <w:szCs w:val="21"/>
        </w:rPr>
        <w:t xml:space="preserve">可采用以下简易方式来计算其大小： </w:t>
      </w:r>
    </w:p>
    <w:p w:rsidR="00860FCD" w:rsidRPr="0076176D" w:rsidRDefault="00860FCD" w:rsidP="00860FCD">
      <w:pPr>
        <w:snapToGrid w:val="0"/>
        <w:spacing w:line="360" w:lineRule="auto"/>
        <w:ind w:firstLineChars="150" w:firstLine="316"/>
        <w:rPr>
          <w:b/>
          <w:sz w:val="21"/>
          <w:szCs w:val="21"/>
        </w:rPr>
      </w:pPr>
      <w:r w:rsidRPr="0076176D">
        <w:rPr>
          <w:b/>
          <w:sz w:val="21"/>
          <w:szCs w:val="21"/>
        </w:rPr>
        <w:t>槽（管）截面积=</w:t>
      </w:r>
      <w:r w:rsidRPr="0076176D">
        <w:rPr>
          <w:rFonts w:hint="eastAsia"/>
          <w:b/>
          <w:sz w:val="21"/>
          <w:szCs w:val="21"/>
        </w:rPr>
        <w:t>（</w:t>
      </w:r>
      <w:r w:rsidRPr="0076176D">
        <w:rPr>
          <w:b/>
          <w:sz w:val="21"/>
          <w:szCs w:val="21"/>
        </w:rPr>
        <w:t>n×</w:t>
      </w:r>
      <w:r w:rsidRPr="0076176D">
        <w:rPr>
          <w:rFonts w:hint="eastAsia"/>
          <w:b/>
          <w:sz w:val="21"/>
          <w:szCs w:val="21"/>
        </w:rPr>
        <w:t>线缆截面积）</w:t>
      </w:r>
      <w:r w:rsidRPr="0076176D">
        <w:rPr>
          <w:b/>
          <w:sz w:val="21"/>
          <w:szCs w:val="21"/>
        </w:rPr>
        <w:t>/</w:t>
      </w:r>
      <w:r w:rsidRPr="0076176D">
        <w:rPr>
          <w:rFonts w:hint="eastAsia"/>
          <w:b/>
          <w:sz w:val="21"/>
          <w:szCs w:val="21"/>
        </w:rPr>
        <w:t>（</w:t>
      </w:r>
      <w:r w:rsidRPr="0076176D">
        <w:rPr>
          <w:b/>
          <w:sz w:val="21"/>
          <w:szCs w:val="21"/>
        </w:rPr>
        <w:t>7 0 %×</w:t>
      </w:r>
      <w:r w:rsidRPr="0076176D">
        <w:rPr>
          <w:rFonts w:hint="eastAsia"/>
          <w:b/>
          <w:sz w:val="21"/>
          <w:szCs w:val="21"/>
        </w:rPr>
        <w:t>（</w:t>
      </w:r>
      <w:r w:rsidRPr="0076176D">
        <w:rPr>
          <w:b/>
          <w:sz w:val="21"/>
          <w:szCs w:val="21"/>
        </w:rPr>
        <w:t>4 0</w:t>
      </w:r>
      <w:r w:rsidRPr="0076176D">
        <w:rPr>
          <w:rFonts w:hint="eastAsia"/>
          <w:b/>
          <w:sz w:val="21"/>
          <w:szCs w:val="21"/>
        </w:rPr>
        <w:t>～</w:t>
      </w:r>
      <w:r w:rsidRPr="0076176D">
        <w:rPr>
          <w:b/>
          <w:sz w:val="21"/>
          <w:szCs w:val="21"/>
        </w:rPr>
        <w:t>5 0</w:t>
      </w:r>
      <w:r w:rsidRPr="0076176D">
        <w:rPr>
          <w:rFonts w:hint="eastAsia"/>
          <w:b/>
          <w:sz w:val="21"/>
          <w:szCs w:val="21"/>
        </w:rPr>
        <w:t>％ ））</w:t>
      </w:r>
    </w:p>
    <w:p w:rsidR="00860FCD" w:rsidRPr="0076176D" w:rsidRDefault="00860FCD" w:rsidP="00860FCD">
      <w:pPr>
        <w:snapToGrid w:val="0"/>
        <w:spacing w:line="360" w:lineRule="auto"/>
        <w:ind w:left="900"/>
        <w:rPr>
          <w:b/>
          <w:sz w:val="21"/>
          <w:szCs w:val="21"/>
        </w:rPr>
      </w:pPr>
      <w:r w:rsidRPr="0076176D">
        <w:rPr>
          <w:b/>
          <w:sz w:val="21"/>
          <w:szCs w:val="21"/>
        </w:rPr>
        <w:t>n</w:t>
      </w:r>
      <w:r w:rsidRPr="0076176D">
        <w:rPr>
          <w:rFonts w:hint="eastAsia"/>
          <w:b/>
          <w:sz w:val="21"/>
          <w:szCs w:val="21"/>
        </w:rPr>
        <w:t xml:space="preserve">：表示用户所要安装的多少条线（已知数）； </w:t>
      </w:r>
    </w:p>
    <w:p w:rsidR="00860FCD" w:rsidRPr="0076176D" w:rsidRDefault="00860FCD" w:rsidP="00860FCD">
      <w:pPr>
        <w:snapToGrid w:val="0"/>
        <w:spacing w:line="360" w:lineRule="auto"/>
        <w:ind w:left="900"/>
        <w:rPr>
          <w:b/>
          <w:sz w:val="21"/>
          <w:szCs w:val="21"/>
        </w:rPr>
      </w:pPr>
      <w:r w:rsidRPr="0076176D">
        <w:rPr>
          <w:rFonts w:hint="eastAsia"/>
          <w:b/>
          <w:sz w:val="21"/>
          <w:szCs w:val="21"/>
        </w:rPr>
        <w:lastRenderedPageBreak/>
        <w:t>槽（管）截面积：表示要选择的槽管截面积</w:t>
      </w:r>
    </w:p>
    <w:p w:rsidR="00860FCD" w:rsidRPr="0076176D" w:rsidRDefault="00860FCD" w:rsidP="00860FCD">
      <w:pPr>
        <w:snapToGrid w:val="0"/>
        <w:spacing w:line="360" w:lineRule="auto"/>
        <w:ind w:left="900"/>
        <w:rPr>
          <w:b/>
          <w:sz w:val="21"/>
          <w:szCs w:val="21"/>
        </w:rPr>
      </w:pPr>
      <w:r w:rsidRPr="0076176D">
        <w:rPr>
          <w:rFonts w:hint="eastAsia"/>
          <w:b/>
          <w:sz w:val="21"/>
          <w:szCs w:val="21"/>
        </w:rPr>
        <w:t>线缆截面积：表示选用的线缆面积</w:t>
      </w:r>
    </w:p>
    <w:p w:rsidR="00860FCD" w:rsidRPr="0076176D" w:rsidRDefault="00860FCD" w:rsidP="00860FCD">
      <w:pPr>
        <w:snapToGrid w:val="0"/>
        <w:spacing w:line="360" w:lineRule="auto"/>
        <w:ind w:left="900"/>
        <w:rPr>
          <w:b/>
          <w:sz w:val="21"/>
          <w:szCs w:val="21"/>
        </w:rPr>
      </w:pPr>
      <w:r w:rsidRPr="0076176D">
        <w:rPr>
          <w:b/>
          <w:sz w:val="21"/>
          <w:szCs w:val="21"/>
        </w:rPr>
        <w:t>7 0</w:t>
      </w:r>
      <w:r w:rsidRPr="0076176D">
        <w:rPr>
          <w:rFonts w:hint="eastAsia"/>
          <w:b/>
          <w:sz w:val="21"/>
          <w:szCs w:val="21"/>
        </w:rPr>
        <w:t>％：表示布线标准规定允许的空间；</w:t>
      </w:r>
    </w:p>
    <w:p w:rsidR="00860FCD" w:rsidRPr="0076176D" w:rsidRDefault="00860FCD" w:rsidP="00860FCD">
      <w:pPr>
        <w:snapToGrid w:val="0"/>
        <w:spacing w:line="360" w:lineRule="auto"/>
        <w:ind w:left="900"/>
        <w:rPr>
          <w:b/>
          <w:sz w:val="21"/>
          <w:szCs w:val="21"/>
        </w:rPr>
      </w:pPr>
      <w:r w:rsidRPr="0076176D">
        <w:rPr>
          <w:b/>
          <w:sz w:val="21"/>
          <w:szCs w:val="21"/>
        </w:rPr>
        <w:t>40%-50%</w:t>
      </w:r>
      <w:r w:rsidRPr="0076176D">
        <w:rPr>
          <w:rFonts w:hint="eastAsia"/>
          <w:b/>
          <w:sz w:val="21"/>
          <w:szCs w:val="21"/>
        </w:rPr>
        <w:t>：表示线缆之间浪费的空间</w:t>
      </w:r>
    </w:p>
    <w:p w:rsidR="00860FCD" w:rsidRDefault="00860FCD" w:rsidP="00860FCD">
      <w:pPr>
        <w:snapToGrid w:val="0"/>
        <w:spacing w:line="360" w:lineRule="auto"/>
        <w:ind w:leftChars="150" w:left="360"/>
        <w:rPr>
          <w:b/>
          <w:sz w:val="21"/>
          <w:szCs w:val="21"/>
        </w:rPr>
      </w:pPr>
      <w:r w:rsidRPr="0076176D">
        <w:rPr>
          <w:rFonts w:hint="eastAsia"/>
          <w:b/>
          <w:sz w:val="21"/>
          <w:szCs w:val="21"/>
        </w:rPr>
        <w:t>以上计算方法的管槽按要求留有较多的余量空间，在实际工程中可根据具体情况也可适当多容纳一些线缆。</w:t>
      </w:r>
    </w:p>
    <w:p w:rsidR="00860FCD" w:rsidRPr="0076176D" w:rsidRDefault="00860FCD" w:rsidP="00860FCD">
      <w:pPr>
        <w:snapToGrid w:val="0"/>
        <w:spacing w:line="360" w:lineRule="auto"/>
        <w:ind w:leftChars="150" w:left="360"/>
        <w:rPr>
          <w:b/>
          <w:sz w:val="21"/>
          <w:szCs w:val="21"/>
        </w:rPr>
      </w:pPr>
      <w:r w:rsidRPr="00A660AF">
        <w:rPr>
          <w:rFonts w:hint="eastAsia"/>
          <w:b/>
          <w:noProof/>
          <w:sz w:val="21"/>
          <w:szCs w:val="21"/>
        </w:rPr>
        <w:drawing>
          <wp:inline distT="0" distB="0" distL="0" distR="0">
            <wp:extent cx="5222801" cy="2828260"/>
            <wp:effectExtent l="19050" t="0" r="0" b="0"/>
            <wp:docPr id="65" name="图片 1" descr="中8"/>
            <wp:cNvGraphicFramePr/>
            <a:graphic xmlns:a="http://schemas.openxmlformats.org/drawingml/2006/main">
              <a:graphicData uri="http://schemas.openxmlformats.org/drawingml/2006/picture">
                <pic:pic xmlns:pic="http://schemas.openxmlformats.org/drawingml/2006/picture">
                  <pic:nvPicPr>
                    <pic:cNvPr id="4" name="Picture 3" descr="中8"/>
                    <pic:cNvPicPr>
                      <a:picLocks noGrp="1" noChangeAspect="1" noChangeArrowheads="1"/>
                    </pic:cNvPicPr>
                  </pic:nvPicPr>
                  <pic:blipFill>
                    <a:blip r:embed="rId8" cstate="print"/>
                    <a:srcRect/>
                    <a:stretch>
                      <a:fillRect/>
                    </a:stretch>
                  </pic:blipFill>
                  <pic:spPr bwMode="auto">
                    <a:xfrm>
                      <a:off x="0" y="0"/>
                      <a:ext cx="5223763" cy="2828781"/>
                    </a:xfrm>
                    <a:prstGeom prst="rect">
                      <a:avLst/>
                    </a:prstGeom>
                    <a:noFill/>
                    <a:ln w="9525">
                      <a:noFill/>
                      <a:miter lim="800000"/>
                      <a:headEnd/>
                      <a:tailEnd/>
                    </a:ln>
                  </pic:spPr>
                </pic:pic>
              </a:graphicData>
            </a:graphic>
          </wp:inline>
        </w:drawing>
      </w:r>
    </w:p>
    <w:p w:rsidR="00860FCD" w:rsidRPr="0076176D" w:rsidRDefault="00860FCD" w:rsidP="00860FCD">
      <w:pPr>
        <w:snapToGrid w:val="0"/>
        <w:spacing w:line="360" w:lineRule="auto"/>
        <w:ind w:leftChars="175" w:left="420" w:firstLineChars="200" w:firstLine="420"/>
        <w:rPr>
          <w:sz w:val="21"/>
          <w:szCs w:val="21"/>
          <w:lang w:eastAsia="zh-TW"/>
        </w:rPr>
      </w:pPr>
      <w:r w:rsidRPr="0076176D">
        <w:rPr>
          <w:sz w:val="21"/>
          <w:szCs w:val="21"/>
        </w:rPr>
        <w:t>线槽的材料为冷轧合金板，表面可进行相应处理，如镀锌、喷塑、烤漆等，线槽可以根据情况选用不同的规格。为保证线缆的转弯半径，线槽需配以相应规格的分支配件，以提供线路路由的转弯自如。</w:t>
      </w:r>
    </w:p>
    <w:p w:rsidR="00860FCD" w:rsidRDefault="00860FCD" w:rsidP="00860FCD">
      <w:pPr>
        <w:snapToGrid w:val="0"/>
        <w:spacing w:line="360" w:lineRule="auto"/>
        <w:ind w:leftChars="175" w:left="420" w:firstLineChars="200" w:firstLine="420"/>
        <w:rPr>
          <w:sz w:val="21"/>
          <w:szCs w:val="21"/>
        </w:rPr>
      </w:pPr>
      <w:r w:rsidRPr="0076176D">
        <w:rPr>
          <w:sz w:val="21"/>
          <w:szCs w:val="21"/>
        </w:rPr>
        <w:t>为确保线路的安全，应使槽体有良好的接地端，金属线槽、金属软管、金属桥架及分配线机柜均需整体连接，然后接地，如不能确定信息出口准确位置，拉线时可先将线缆盘在吊顶内的出线口，待具体位置确定后，再引到信息出口。</w:t>
      </w:r>
    </w:p>
    <w:p w:rsidR="00860FCD" w:rsidRPr="00A660AF" w:rsidRDefault="00860FCD" w:rsidP="00860FCD">
      <w:pPr>
        <w:pStyle w:val="a6"/>
        <w:shd w:val="clear" w:color="auto" w:fill="FFFFFF"/>
        <w:spacing w:before="0" w:beforeAutospacing="0" w:after="0" w:afterAutospacing="0" w:line="360" w:lineRule="auto"/>
        <w:ind w:firstLine="405"/>
        <w:rPr>
          <w:rFonts w:ascii="Tahoma" w:hAnsi="Tahoma" w:cs="Tahoma"/>
          <w:sz w:val="21"/>
          <w:szCs w:val="21"/>
        </w:rPr>
      </w:pPr>
      <w:r w:rsidRPr="00A660AF">
        <w:rPr>
          <w:rFonts w:ascii="Tahoma" w:hAnsi="Tahoma" w:cs="Tahoma" w:hint="eastAsia"/>
          <w:sz w:val="21"/>
          <w:szCs w:val="21"/>
        </w:rPr>
        <w:t>垂直桥架主要是安装在弱电竖井内，自下而上，贯通整个大楼；安装时，</w:t>
      </w:r>
      <w:r w:rsidRPr="00A660AF">
        <w:rPr>
          <w:rFonts w:ascii="Tahoma" w:hAnsi="Tahoma" w:cs="Tahoma"/>
          <w:sz w:val="21"/>
          <w:szCs w:val="21"/>
        </w:rPr>
        <w:t>桥架应固定在墙面上，要求桥架为全密封结构，可通过锁扣开启盖子，桥架之间通过配套的连接片和螺栓连接；</w:t>
      </w:r>
    </w:p>
    <w:p w:rsidR="00860FCD" w:rsidRPr="00A660AF" w:rsidRDefault="00860FCD" w:rsidP="00860FCD">
      <w:pPr>
        <w:pStyle w:val="a6"/>
        <w:shd w:val="clear" w:color="auto" w:fill="FFFFFF"/>
        <w:spacing w:before="0" w:beforeAutospacing="0" w:after="0" w:afterAutospacing="0" w:line="360" w:lineRule="auto"/>
        <w:ind w:firstLine="405"/>
        <w:rPr>
          <w:rFonts w:ascii="Tahoma" w:hAnsi="Tahoma" w:cs="Tahoma"/>
          <w:sz w:val="21"/>
          <w:szCs w:val="21"/>
        </w:rPr>
      </w:pPr>
      <w:r w:rsidRPr="00A660AF">
        <w:rPr>
          <w:rFonts w:ascii="Tahoma" w:hAnsi="Tahoma" w:cs="Tahoma"/>
          <w:noProof/>
          <w:sz w:val="21"/>
          <w:szCs w:val="21"/>
        </w:rPr>
        <w:drawing>
          <wp:anchor distT="0" distB="0" distL="114300" distR="114300" simplePos="0" relativeHeight="251659264" behindDoc="1" locked="0" layoutInCell="1" allowOverlap="1">
            <wp:simplePos x="0" y="0"/>
            <wp:positionH relativeFrom="column">
              <wp:posOffset>3624580</wp:posOffset>
            </wp:positionH>
            <wp:positionV relativeFrom="paragraph">
              <wp:posOffset>-88900</wp:posOffset>
            </wp:positionV>
            <wp:extent cx="2137410" cy="1957705"/>
            <wp:effectExtent l="19050" t="0" r="0" b="0"/>
            <wp:wrapTight wrapText="bothSides">
              <wp:wrapPolygon edited="0">
                <wp:start x="-193" y="210"/>
                <wp:lineTo x="-193" y="19547"/>
                <wp:lineTo x="4620" y="20388"/>
                <wp:lineTo x="16941" y="20388"/>
                <wp:lineTo x="20021" y="20388"/>
                <wp:lineTo x="20214" y="20388"/>
                <wp:lineTo x="20599" y="17445"/>
                <wp:lineTo x="20599" y="210"/>
                <wp:lineTo x="-193" y="210"/>
              </wp:wrapPolygon>
            </wp:wrapTight>
            <wp:docPr id="64" name="图片 87" descr="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cs"/>
                    <pic:cNvPicPr>
                      <a:picLocks noChangeAspect="1" noChangeArrowheads="1"/>
                    </pic:cNvPicPr>
                  </pic:nvPicPr>
                  <pic:blipFill>
                    <a:blip r:embed="rId9"/>
                    <a:srcRect r="15730"/>
                    <a:stretch>
                      <a:fillRect/>
                    </a:stretch>
                  </pic:blipFill>
                  <pic:spPr bwMode="auto">
                    <a:xfrm>
                      <a:off x="0" y="0"/>
                      <a:ext cx="2137410" cy="1957705"/>
                    </a:xfrm>
                    <a:prstGeom prst="rect">
                      <a:avLst/>
                    </a:prstGeom>
                    <a:noFill/>
                    <a:ln w="9525">
                      <a:noFill/>
                      <a:miter lim="800000"/>
                      <a:headEnd/>
                      <a:tailEnd/>
                    </a:ln>
                  </pic:spPr>
                </pic:pic>
              </a:graphicData>
            </a:graphic>
          </wp:anchor>
        </w:drawing>
      </w:r>
      <w:r w:rsidRPr="00A660AF">
        <w:rPr>
          <w:rFonts w:ascii="Tahoma" w:hAnsi="Tahoma" w:cs="Tahoma"/>
          <w:sz w:val="21"/>
          <w:szCs w:val="21"/>
        </w:rPr>
        <w:t>桥架底面或左右壁要求冲穿线环，提供可以固定线缆的支架，以免线缆因重力损伤。根据布</w:t>
      </w:r>
    </w:p>
    <w:p w:rsidR="00860FCD" w:rsidRPr="00A660AF" w:rsidRDefault="00860FCD" w:rsidP="00860FCD">
      <w:pPr>
        <w:pStyle w:val="a6"/>
        <w:shd w:val="clear" w:color="auto" w:fill="FFFFFF"/>
        <w:spacing w:before="0" w:beforeAutospacing="0" w:after="0" w:afterAutospacing="0" w:line="360" w:lineRule="auto"/>
        <w:rPr>
          <w:rFonts w:ascii="Tahoma" w:hAnsi="Tahoma" w:cs="Tahoma"/>
          <w:sz w:val="21"/>
          <w:szCs w:val="21"/>
        </w:rPr>
      </w:pPr>
      <w:r w:rsidRPr="00A660AF">
        <w:rPr>
          <w:rFonts w:ascii="Tahoma" w:hAnsi="Tahoma" w:cs="Tahoma"/>
          <w:sz w:val="21"/>
          <w:szCs w:val="21"/>
        </w:rPr>
        <w:t>线标准，要求每隔</w:t>
      </w:r>
      <w:r w:rsidRPr="00A660AF">
        <w:rPr>
          <w:rFonts w:ascii="Tahoma" w:hAnsi="Tahoma" w:cs="Tahoma"/>
          <w:sz w:val="21"/>
          <w:szCs w:val="21"/>
        </w:rPr>
        <w:t>600mm</w:t>
      </w:r>
      <w:r w:rsidRPr="00A660AF">
        <w:rPr>
          <w:rFonts w:ascii="Tahoma" w:hAnsi="Tahoma" w:cs="Tahoma"/>
          <w:sz w:val="21"/>
          <w:szCs w:val="21"/>
        </w:rPr>
        <w:t>高度冲一排（每排均布</w:t>
      </w:r>
      <w:r w:rsidRPr="00A660AF">
        <w:rPr>
          <w:rFonts w:ascii="Tahoma" w:hAnsi="Tahoma" w:cs="Tahoma"/>
          <w:sz w:val="21"/>
          <w:szCs w:val="21"/>
        </w:rPr>
        <w:t>4</w:t>
      </w:r>
      <w:r w:rsidRPr="00A660AF">
        <w:rPr>
          <w:rFonts w:ascii="Tahoma" w:hAnsi="Tahoma" w:cs="Tahoma"/>
          <w:sz w:val="21"/>
          <w:szCs w:val="21"/>
        </w:rPr>
        <w:t>个穿线环），见</w:t>
      </w:r>
      <w:r w:rsidRPr="00A660AF">
        <w:rPr>
          <w:rFonts w:ascii="Tahoma" w:hAnsi="Tahoma" w:cs="Tahoma" w:hint="eastAsia"/>
          <w:sz w:val="21"/>
          <w:szCs w:val="21"/>
        </w:rPr>
        <w:t>右</w:t>
      </w:r>
      <w:r w:rsidRPr="00A660AF">
        <w:rPr>
          <w:rFonts w:ascii="Tahoma" w:hAnsi="Tahoma" w:cs="Tahoma"/>
          <w:sz w:val="21"/>
          <w:szCs w:val="21"/>
        </w:rPr>
        <w:t>图</w:t>
      </w:r>
      <w:r w:rsidRPr="00A660AF">
        <w:rPr>
          <w:rFonts w:ascii="Tahoma" w:hAnsi="Tahoma" w:cs="Tahoma" w:hint="eastAsia"/>
          <w:sz w:val="21"/>
          <w:szCs w:val="21"/>
        </w:rPr>
        <w:t>，</w:t>
      </w:r>
      <w:r w:rsidRPr="00A660AF">
        <w:rPr>
          <w:rFonts w:ascii="Tahoma" w:hAnsi="Tahoma" w:cs="Tahoma"/>
          <w:sz w:val="21"/>
          <w:szCs w:val="21"/>
        </w:rPr>
        <w:t>要求没有毛刺；</w:t>
      </w:r>
    </w:p>
    <w:p w:rsidR="00860FCD" w:rsidRPr="00A660AF" w:rsidRDefault="00860FCD" w:rsidP="00860FCD">
      <w:pPr>
        <w:pStyle w:val="a6"/>
        <w:shd w:val="clear" w:color="auto" w:fill="FFFFFF"/>
        <w:spacing w:before="0" w:beforeAutospacing="0" w:after="0" w:afterAutospacing="0" w:line="360" w:lineRule="auto"/>
        <w:ind w:firstLine="405"/>
        <w:rPr>
          <w:rFonts w:ascii="Tahoma" w:hAnsi="Tahoma" w:cs="Tahoma"/>
          <w:sz w:val="21"/>
          <w:szCs w:val="21"/>
        </w:rPr>
      </w:pPr>
      <w:r w:rsidRPr="00A660AF">
        <w:rPr>
          <w:rFonts w:ascii="Tahoma" w:hAnsi="Tahoma" w:cs="Tahoma"/>
          <w:sz w:val="21"/>
          <w:szCs w:val="21"/>
        </w:rPr>
        <w:t>垂直桥架要与各</w:t>
      </w:r>
      <w:r w:rsidRPr="00A660AF">
        <w:rPr>
          <w:rFonts w:ascii="Tahoma" w:hAnsi="Tahoma" w:cs="Tahoma" w:hint="eastAsia"/>
          <w:sz w:val="21"/>
          <w:szCs w:val="21"/>
        </w:rPr>
        <w:t>楼</w:t>
      </w:r>
      <w:r w:rsidRPr="00A660AF">
        <w:rPr>
          <w:rFonts w:ascii="Tahoma" w:hAnsi="Tahoma" w:cs="Tahoma"/>
          <w:sz w:val="21"/>
          <w:szCs w:val="21"/>
        </w:rPr>
        <w:t>层的水平桥架连接，并且要与各楼层配线间高架地板下的桥架连接；</w:t>
      </w:r>
    </w:p>
    <w:p w:rsidR="00860FCD" w:rsidRPr="00A660AF" w:rsidRDefault="00860FCD" w:rsidP="00860FCD">
      <w:pPr>
        <w:pStyle w:val="a6"/>
        <w:shd w:val="clear" w:color="auto" w:fill="FFFFFF"/>
        <w:spacing w:before="0" w:beforeAutospacing="0" w:after="0" w:afterAutospacing="0" w:line="360" w:lineRule="auto"/>
        <w:ind w:firstLine="403"/>
        <w:rPr>
          <w:rFonts w:ascii="Tahoma" w:hAnsi="Tahoma" w:cs="Tahoma"/>
          <w:sz w:val="21"/>
          <w:szCs w:val="21"/>
        </w:rPr>
      </w:pPr>
      <w:r w:rsidRPr="002640C3">
        <w:rPr>
          <w:rFonts w:ascii="Tahoma" w:hAnsi="Tahoma" w:cs="Tahoma" w:hint="eastAsia"/>
          <w:b/>
          <w:color w:val="000000" w:themeColor="text1"/>
          <w:sz w:val="21"/>
          <w:szCs w:val="21"/>
        </w:rPr>
        <w:lastRenderedPageBreak/>
        <w:t>特别提醒：</w:t>
      </w:r>
      <w:r w:rsidRPr="002640C3">
        <w:rPr>
          <w:rFonts w:hint="eastAsia"/>
          <w:b/>
          <w:color w:val="FF0000"/>
          <w:sz w:val="21"/>
          <w:szCs w:val="21"/>
        </w:rPr>
        <w:t></w:t>
      </w:r>
      <w:r w:rsidRPr="00A660AF">
        <w:rPr>
          <w:rFonts w:ascii="Tahoma" w:hAnsi="Tahoma" w:cs="Tahoma" w:hint="eastAsia"/>
          <w:b/>
          <w:sz w:val="21"/>
          <w:szCs w:val="21"/>
        </w:rPr>
        <w:tab/>
      </w:r>
      <w:r w:rsidRPr="00A660AF">
        <w:rPr>
          <w:rFonts w:ascii="Tahoma" w:hAnsi="Tahoma" w:cs="Tahoma"/>
          <w:sz w:val="21"/>
          <w:szCs w:val="21"/>
        </w:rPr>
        <w:t>根据综合布线系统的穿线工艺，要求桥架的内截面尺寸应大于所穿线缆截面积之和的</w:t>
      </w:r>
      <w:r w:rsidRPr="00A660AF">
        <w:rPr>
          <w:rFonts w:ascii="Tahoma" w:hAnsi="Tahoma" w:cs="Tahoma"/>
          <w:sz w:val="21"/>
          <w:szCs w:val="21"/>
        </w:rPr>
        <w:t>3</w:t>
      </w:r>
      <w:r w:rsidRPr="00A660AF">
        <w:rPr>
          <w:rFonts w:ascii="Tahoma" w:hAnsi="Tahoma" w:cs="Tahoma"/>
          <w:sz w:val="21"/>
          <w:szCs w:val="21"/>
        </w:rPr>
        <w:t>倍；桥架转弯处应采用弧线形弯头或折线型弯头，以免发生线缆直角转弯的现象。桥架连接处要求通过接地线彼此连接；桥架施工时间应在内装潢期间，与装修、强电或其他工程协调进行；</w:t>
      </w:r>
    </w:p>
    <w:p w:rsidR="00860FCD" w:rsidRDefault="00860FCD" w:rsidP="00860FCD">
      <w:pPr>
        <w:snapToGrid w:val="0"/>
        <w:spacing w:line="360" w:lineRule="auto"/>
      </w:pPr>
    </w:p>
    <w:p w:rsidR="00860FCD" w:rsidRDefault="00860FCD" w:rsidP="00860FCD">
      <w:pPr>
        <w:snapToGrid w:val="0"/>
        <w:spacing w:line="360" w:lineRule="auto"/>
        <w:ind w:leftChars="175" w:left="420" w:firstLineChars="200" w:firstLine="480"/>
        <w:jc w:val="center"/>
      </w:pPr>
      <w:r w:rsidRPr="003F187E">
        <w:rPr>
          <w:noProof/>
        </w:rPr>
        <w:drawing>
          <wp:inline distT="0" distB="0" distL="0" distR="0">
            <wp:extent cx="3981450" cy="2000250"/>
            <wp:effectExtent l="19050" t="0" r="0" b="0"/>
            <wp:docPr id="18" name="图片 2" descr="图片37"/>
            <wp:cNvGraphicFramePr/>
            <a:graphic xmlns:a="http://schemas.openxmlformats.org/drawingml/2006/main">
              <a:graphicData uri="http://schemas.openxmlformats.org/drawingml/2006/picture">
                <pic:pic xmlns:pic="http://schemas.openxmlformats.org/drawingml/2006/picture">
                  <pic:nvPicPr>
                    <pic:cNvPr id="4" name="Picture 4" descr="图片37"/>
                    <pic:cNvPicPr>
                      <a:picLocks noChangeAspect="1" noChangeArrowheads="1"/>
                    </pic:cNvPicPr>
                  </pic:nvPicPr>
                  <pic:blipFill>
                    <a:blip r:embed="rId10"/>
                    <a:srcRect/>
                    <a:stretch>
                      <a:fillRect/>
                    </a:stretch>
                  </pic:blipFill>
                  <pic:spPr bwMode="auto">
                    <a:xfrm>
                      <a:off x="0" y="0"/>
                      <a:ext cx="3981450" cy="2000250"/>
                    </a:xfrm>
                    <a:prstGeom prst="rect">
                      <a:avLst/>
                    </a:prstGeom>
                    <a:noFill/>
                  </pic:spPr>
                </pic:pic>
              </a:graphicData>
            </a:graphic>
          </wp:inline>
        </w:drawing>
      </w:r>
    </w:p>
    <w:p w:rsidR="00860FCD" w:rsidRDefault="00860FCD" w:rsidP="00860FCD">
      <w:pPr>
        <w:snapToGrid w:val="0"/>
        <w:spacing w:line="360" w:lineRule="auto"/>
        <w:ind w:leftChars="175" w:left="420" w:firstLineChars="200" w:firstLine="480"/>
      </w:pPr>
    </w:p>
    <w:p w:rsidR="00860FCD" w:rsidRDefault="00860FCD" w:rsidP="00860FCD">
      <w:pPr>
        <w:snapToGrid w:val="0"/>
        <w:spacing w:line="360" w:lineRule="auto"/>
        <w:ind w:leftChars="175" w:left="420" w:firstLineChars="200" w:firstLine="480"/>
        <w:jc w:val="center"/>
      </w:pPr>
      <w:r w:rsidRPr="003F187E">
        <w:rPr>
          <w:noProof/>
        </w:rPr>
        <w:drawing>
          <wp:inline distT="0" distB="0" distL="0" distR="0">
            <wp:extent cx="4562475" cy="2076450"/>
            <wp:effectExtent l="19050" t="0" r="0" b="0"/>
            <wp:docPr id="20" name="图片 3"/>
            <wp:cNvGraphicFramePr/>
            <a:graphic xmlns:a="http://schemas.openxmlformats.org/drawingml/2006/main">
              <a:graphicData uri="http://schemas.openxmlformats.org/drawingml/2006/picture">
                <pic:pic xmlns:pic="http://schemas.openxmlformats.org/drawingml/2006/picture">
                  <pic:nvPicPr>
                    <pic:cNvPr id="50179" name="Picture 3"/>
                    <pic:cNvPicPr>
                      <a:picLocks noChangeAspect="1" noChangeArrowheads="1"/>
                    </pic:cNvPicPr>
                  </pic:nvPicPr>
                  <pic:blipFill>
                    <a:blip r:embed="rId11"/>
                    <a:srcRect/>
                    <a:stretch>
                      <a:fillRect/>
                    </a:stretch>
                  </pic:blipFill>
                  <pic:spPr bwMode="auto">
                    <a:xfrm>
                      <a:off x="0" y="0"/>
                      <a:ext cx="4565605" cy="2077875"/>
                    </a:xfrm>
                    <a:prstGeom prst="rect">
                      <a:avLst/>
                    </a:prstGeom>
                    <a:noFill/>
                  </pic:spPr>
                </pic:pic>
              </a:graphicData>
            </a:graphic>
          </wp:inline>
        </w:drawing>
      </w:r>
    </w:p>
    <w:p w:rsidR="00860FCD" w:rsidRPr="003F187E" w:rsidRDefault="00860FCD" w:rsidP="00860FCD">
      <w:pPr>
        <w:snapToGrid w:val="0"/>
        <w:spacing w:line="360" w:lineRule="auto"/>
        <w:ind w:leftChars="175" w:left="420" w:firstLineChars="200" w:firstLine="422"/>
        <w:rPr>
          <w:b/>
          <w:sz w:val="21"/>
          <w:szCs w:val="21"/>
        </w:rPr>
      </w:pPr>
      <w:r w:rsidRPr="003F187E">
        <w:rPr>
          <w:rFonts w:hint="eastAsia"/>
          <w:b/>
          <w:sz w:val="21"/>
          <w:szCs w:val="21"/>
        </w:rPr>
        <w:t>桥架的安装可因地制宜。其安装的范围如下：</w:t>
      </w:r>
    </w:p>
    <w:p w:rsidR="00860FCD" w:rsidRDefault="00860FCD" w:rsidP="00860FCD">
      <w:pPr>
        <w:pStyle w:val="a7"/>
        <w:numPr>
          <w:ilvl w:val="0"/>
          <w:numId w:val="1"/>
        </w:numPr>
        <w:snapToGrid w:val="0"/>
        <w:spacing w:line="360" w:lineRule="auto"/>
        <w:ind w:firstLineChars="0"/>
      </w:pPr>
      <w:r w:rsidRPr="003F187E">
        <w:rPr>
          <w:rFonts w:hint="eastAsia"/>
        </w:rPr>
        <w:t>在管道上架空敷设；</w:t>
      </w:r>
    </w:p>
    <w:p w:rsidR="00860FCD" w:rsidRDefault="00860FCD" w:rsidP="00860FCD">
      <w:pPr>
        <w:pStyle w:val="a7"/>
        <w:numPr>
          <w:ilvl w:val="0"/>
          <w:numId w:val="1"/>
        </w:numPr>
        <w:snapToGrid w:val="0"/>
        <w:spacing w:line="360" w:lineRule="auto"/>
        <w:ind w:firstLineChars="0"/>
      </w:pPr>
      <w:r w:rsidRPr="003F187E">
        <w:rPr>
          <w:rFonts w:hint="eastAsia"/>
        </w:rPr>
        <w:t>楼板和梁下吊装；</w:t>
      </w:r>
    </w:p>
    <w:p w:rsidR="00860FCD" w:rsidRPr="005A14F2" w:rsidRDefault="00860FCD" w:rsidP="00860FCD">
      <w:pPr>
        <w:pStyle w:val="a7"/>
        <w:numPr>
          <w:ilvl w:val="0"/>
          <w:numId w:val="1"/>
        </w:numPr>
        <w:snapToGrid w:val="0"/>
        <w:spacing w:line="360" w:lineRule="auto"/>
        <w:ind w:firstLineChars="0"/>
      </w:pPr>
      <w:r w:rsidRPr="003F187E">
        <w:rPr>
          <w:rFonts w:hint="eastAsia"/>
        </w:rPr>
        <w:t>室内外墙壁、柱壁、露天立柱和支墩、隧道、电缆沟壁上侧装。</w:t>
      </w:r>
    </w:p>
    <w:p w:rsidR="00860FCD" w:rsidRPr="00976809" w:rsidRDefault="00860FCD" w:rsidP="00860FCD">
      <w:pPr>
        <w:pStyle w:val="3"/>
        <w:rPr>
          <w:rFonts w:ascii="Calibri" w:hAnsi="Calibri" w:cs="Arial"/>
          <w:color w:val="0000FF"/>
          <w:sz w:val="24"/>
          <w:szCs w:val="24"/>
        </w:rPr>
      </w:pPr>
      <w:bookmarkStart w:id="4" w:name="_Toc279683687"/>
      <w:bookmarkStart w:id="5" w:name="_Toc279758076"/>
      <w:r>
        <w:rPr>
          <w:rFonts w:ascii="Calibri" w:hAnsi="Calibri" w:cs="Arial" w:hint="eastAsia"/>
          <w:color w:val="0000FF"/>
          <w:sz w:val="24"/>
          <w:szCs w:val="24"/>
        </w:rPr>
        <w:t>1</w:t>
      </w:r>
      <w:r w:rsidRPr="00976809">
        <w:rPr>
          <w:rFonts w:ascii="Calibri" w:hAnsi="Calibri" w:cs="Arial" w:hint="eastAsia"/>
          <w:color w:val="0000FF"/>
          <w:sz w:val="24"/>
          <w:szCs w:val="24"/>
        </w:rPr>
        <w:t>.3</w:t>
      </w:r>
      <w:r>
        <w:rPr>
          <w:rFonts w:ascii="Calibri" w:hAnsi="Calibri" w:cs="Arial" w:hint="eastAsia"/>
          <w:color w:val="0000FF"/>
          <w:sz w:val="24"/>
          <w:szCs w:val="24"/>
        </w:rPr>
        <w:t xml:space="preserve"> </w:t>
      </w:r>
      <w:r w:rsidRPr="00976809">
        <w:rPr>
          <w:rFonts w:ascii="Calibri" w:hAnsi="Calibri" w:cs="Arial" w:hint="eastAsia"/>
          <w:color w:val="0000FF"/>
          <w:sz w:val="24"/>
          <w:szCs w:val="24"/>
        </w:rPr>
        <w:t>建筑群子系统安装</w:t>
      </w:r>
      <w:bookmarkEnd w:id="4"/>
      <w:bookmarkEnd w:id="5"/>
    </w:p>
    <w:p w:rsidR="00860FCD" w:rsidRPr="00DC243F" w:rsidRDefault="00860FCD" w:rsidP="00860FCD">
      <w:pPr>
        <w:pStyle w:val="a5"/>
        <w:rPr>
          <w:szCs w:val="21"/>
          <w:lang w:eastAsia="zh-TW"/>
        </w:rPr>
      </w:pPr>
      <w:r w:rsidRPr="00DC243F">
        <w:rPr>
          <w:rFonts w:hint="eastAsia"/>
          <w:szCs w:val="21"/>
        </w:rPr>
        <w:t>建筑群子系统通常涉及两幢上的建筑，其布线距离通常在</w:t>
      </w:r>
      <w:r w:rsidRPr="00DC243F">
        <w:rPr>
          <w:b/>
          <w:color w:val="FF0000"/>
          <w:szCs w:val="21"/>
        </w:rPr>
        <w:t>3KM</w:t>
      </w:r>
      <w:r w:rsidRPr="00DC243F">
        <w:rPr>
          <w:rFonts w:hint="eastAsia"/>
          <w:szCs w:val="21"/>
        </w:rPr>
        <w:t>以内。在建筑群子系统中不仅要考虑同一建筑内各楼层及各房间的线缆敷设，还应该考虑不同楼宇之间连接问题并同时应照顾到各建筑内部原有的网络接入。</w:t>
      </w:r>
    </w:p>
    <w:p w:rsidR="00860FCD" w:rsidRPr="00DC243F" w:rsidRDefault="00860FCD" w:rsidP="00860FCD">
      <w:pPr>
        <w:pStyle w:val="a5"/>
        <w:rPr>
          <w:szCs w:val="21"/>
          <w:lang w:eastAsia="zh-TW"/>
        </w:rPr>
      </w:pPr>
      <w:r w:rsidRPr="00DC243F">
        <w:rPr>
          <w:rFonts w:hint="eastAsia"/>
          <w:szCs w:val="21"/>
        </w:rPr>
        <w:lastRenderedPageBreak/>
        <w:t>在建设群子系统的设计中首先应当考虑的是建筑连接与入口，无论是架空走线还是直埋走线，线缆路的起点和终点几乎与建筑相连的。这些线路相互之间必须保持隔离以免与人、车辆及供电服务线路发生接触。</w:t>
      </w:r>
    </w:p>
    <w:p w:rsidR="00860FCD" w:rsidRPr="00DC243F" w:rsidRDefault="00860FCD" w:rsidP="00860FCD">
      <w:pPr>
        <w:pStyle w:val="a5"/>
        <w:rPr>
          <w:szCs w:val="21"/>
        </w:rPr>
      </w:pPr>
      <w:r w:rsidRPr="00DC243F">
        <w:rPr>
          <w:rFonts w:hint="eastAsia"/>
          <w:szCs w:val="21"/>
        </w:rPr>
        <w:t>建筑群子系统常用的敷设方式为架空、直埋、线缆沟。</w:t>
      </w:r>
    </w:p>
    <w:p w:rsidR="00860FCD" w:rsidRPr="005A14F2" w:rsidRDefault="00860FCD" w:rsidP="00860FCD">
      <w:pPr>
        <w:pStyle w:val="a5"/>
        <w:ind w:firstLine="480"/>
        <w:rPr>
          <w:sz w:val="24"/>
          <w:lang w:eastAsia="zh-TW"/>
        </w:rPr>
      </w:pPr>
    </w:p>
    <w:p w:rsidR="00860FCD" w:rsidRPr="00976809" w:rsidRDefault="00860FCD" w:rsidP="00860FCD">
      <w:pPr>
        <w:pStyle w:val="3"/>
        <w:rPr>
          <w:rFonts w:ascii="Calibri" w:hAnsi="Calibri" w:cs="Arial"/>
          <w:color w:val="0000FF"/>
          <w:sz w:val="24"/>
          <w:szCs w:val="24"/>
        </w:rPr>
      </w:pPr>
      <w:bookmarkStart w:id="6" w:name="_Toc279683688"/>
      <w:bookmarkStart w:id="7" w:name="_Toc279758077"/>
      <w:r>
        <w:rPr>
          <w:rFonts w:ascii="Calibri" w:hAnsi="Calibri" w:cs="Arial" w:hint="eastAsia"/>
          <w:color w:val="0000FF"/>
          <w:sz w:val="24"/>
          <w:szCs w:val="24"/>
        </w:rPr>
        <w:t>1</w:t>
      </w:r>
      <w:r w:rsidRPr="00976809">
        <w:rPr>
          <w:rFonts w:ascii="Calibri" w:hAnsi="Calibri" w:cs="Arial" w:hint="eastAsia"/>
          <w:color w:val="0000FF"/>
          <w:sz w:val="24"/>
          <w:szCs w:val="24"/>
        </w:rPr>
        <w:t>.4</w:t>
      </w:r>
      <w:r>
        <w:rPr>
          <w:rFonts w:ascii="Calibri" w:hAnsi="Calibri" w:cs="Arial" w:hint="eastAsia"/>
          <w:color w:val="0000FF"/>
          <w:sz w:val="24"/>
          <w:szCs w:val="24"/>
        </w:rPr>
        <w:t xml:space="preserve"> </w:t>
      </w:r>
      <w:r w:rsidRPr="00976809">
        <w:rPr>
          <w:rFonts w:ascii="Calibri" w:hAnsi="Calibri" w:cs="Arial" w:hint="eastAsia"/>
          <w:color w:val="0000FF"/>
          <w:sz w:val="24"/>
          <w:szCs w:val="24"/>
        </w:rPr>
        <w:t>配线架附近的环境要求</w:t>
      </w:r>
      <w:bookmarkEnd w:id="6"/>
      <w:bookmarkEnd w:id="7"/>
    </w:p>
    <w:p w:rsidR="00860FCD" w:rsidRPr="00DC243F" w:rsidRDefault="00860FCD" w:rsidP="00860FCD">
      <w:pPr>
        <w:pStyle w:val="a5"/>
        <w:rPr>
          <w:szCs w:val="21"/>
        </w:rPr>
      </w:pPr>
      <w:r w:rsidRPr="00DC243F">
        <w:rPr>
          <w:rFonts w:hint="eastAsia"/>
          <w:szCs w:val="21"/>
        </w:rPr>
        <w:t>由于配线架使用管理子系统，因此它是整个布线系统的核心。它的布局、选型及环境条件的考虑是否恰当，都直接影响到将来信息系统的正常运行及维护、使用的灵活性。在此，将对此提出以下建议：</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室内照明不低于</w:t>
      </w:r>
      <w:r w:rsidRPr="00DC243F">
        <w:rPr>
          <w:color w:val="000000"/>
          <w:sz w:val="21"/>
          <w:szCs w:val="21"/>
        </w:rPr>
        <w:t>150Lx</w:t>
      </w:r>
      <w:r w:rsidRPr="00DC243F">
        <w:rPr>
          <w:rFonts w:hint="eastAsia"/>
          <w:color w:val="000000"/>
          <w:sz w:val="21"/>
          <w:szCs w:val="21"/>
        </w:rPr>
        <w:t>；</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系统是无源布线系统，本身不需要电源。但为了保证在安装、测试及今后维护时可能使用电源，建议安装若干电源插座，每一个电源插座容量不小于</w:t>
      </w:r>
      <w:r w:rsidRPr="00DC243F">
        <w:rPr>
          <w:color w:val="000000"/>
          <w:sz w:val="21"/>
          <w:szCs w:val="21"/>
        </w:rPr>
        <w:t>300W</w:t>
      </w:r>
      <w:r w:rsidRPr="00DC243F">
        <w:rPr>
          <w:rFonts w:hint="eastAsia"/>
          <w:color w:val="000000"/>
          <w:sz w:val="21"/>
          <w:szCs w:val="21"/>
        </w:rPr>
        <w:t>。</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Pr>
          <w:rFonts w:hint="eastAsia"/>
          <w:color w:val="000000"/>
          <w:sz w:val="21"/>
          <w:szCs w:val="21"/>
        </w:rPr>
        <w:t>根据该楼</w:t>
      </w:r>
      <w:r w:rsidRPr="00DC243F">
        <w:rPr>
          <w:rFonts w:hint="eastAsia"/>
          <w:color w:val="000000"/>
          <w:sz w:val="21"/>
          <w:szCs w:val="21"/>
        </w:rPr>
        <w:t>网络设备对电源的实际需求，配备能够满足使用需要的电源系统（包括</w:t>
      </w:r>
      <w:r w:rsidRPr="00DC243F">
        <w:rPr>
          <w:color w:val="000000"/>
          <w:sz w:val="21"/>
          <w:szCs w:val="21"/>
        </w:rPr>
        <w:t>UPS</w:t>
      </w:r>
      <w:r w:rsidRPr="00DC243F">
        <w:rPr>
          <w:rFonts w:hint="eastAsia"/>
          <w:color w:val="000000"/>
          <w:sz w:val="21"/>
          <w:szCs w:val="21"/>
        </w:rPr>
        <w:t>系统）；</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配线架应尽量靠近弱电竖井，以方便布线并节省投资；</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配线架</w:t>
      </w:r>
      <w:r>
        <w:rPr>
          <w:rFonts w:hint="eastAsia"/>
          <w:color w:val="000000"/>
          <w:sz w:val="21"/>
          <w:szCs w:val="21"/>
        </w:rPr>
        <w:t>旁的</w:t>
      </w:r>
      <w:r w:rsidRPr="00DC243F">
        <w:rPr>
          <w:rFonts w:hint="eastAsia"/>
          <w:color w:val="000000"/>
          <w:sz w:val="21"/>
          <w:szCs w:val="21"/>
        </w:rPr>
        <w:t>网络设备所在地的环境工作温度应保持在</w:t>
      </w:r>
      <w:r w:rsidRPr="00DC243F">
        <w:rPr>
          <w:color w:val="000000"/>
          <w:sz w:val="21"/>
          <w:szCs w:val="21"/>
        </w:rPr>
        <w:t>18-27</w:t>
      </w:r>
      <w:r w:rsidRPr="00DC243F">
        <w:rPr>
          <w:rFonts w:hint="eastAsia"/>
          <w:color w:val="000000"/>
          <w:sz w:val="21"/>
          <w:szCs w:val="21"/>
        </w:rPr>
        <w:t>℃之间；</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配线架旁的湿度应保持在</w:t>
      </w:r>
      <w:r w:rsidRPr="00DC243F">
        <w:rPr>
          <w:color w:val="000000"/>
          <w:sz w:val="21"/>
          <w:szCs w:val="21"/>
        </w:rPr>
        <w:t>30%-50%</w:t>
      </w:r>
      <w:r w:rsidRPr="00DC243F">
        <w:rPr>
          <w:rFonts w:hint="eastAsia"/>
          <w:color w:val="000000"/>
          <w:sz w:val="21"/>
          <w:szCs w:val="21"/>
        </w:rPr>
        <w:t>之间；</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为确保配线架上各种插座工作性能良好，要求配线间内具有良好的通风，并做到室内无尘；</w:t>
      </w:r>
    </w:p>
    <w:p w:rsidR="00860FCD" w:rsidRPr="00DC243F" w:rsidRDefault="00860FCD" w:rsidP="00860FCD">
      <w:pPr>
        <w:pStyle w:val="a6"/>
        <w:numPr>
          <w:ilvl w:val="0"/>
          <w:numId w:val="2"/>
        </w:numPr>
        <w:spacing w:before="0" w:beforeAutospacing="0" w:after="0" w:afterAutospacing="0" w:line="360" w:lineRule="auto"/>
        <w:rPr>
          <w:color w:val="000000"/>
          <w:sz w:val="21"/>
          <w:szCs w:val="21"/>
        </w:rPr>
      </w:pPr>
      <w:r w:rsidRPr="00DC243F">
        <w:rPr>
          <w:rFonts w:hint="eastAsia"/>
          <w:color w:val="000000"/>
          <w:sz w:val="21"/>
          <w:szCs w:val="21"/>
        </w:rPr>
        <w:t>为施工及维护方便，建议楼层配线间的尺寸大于</w:t>
      </w:r>
      <w:r w:rsidRPr="00DC243F">
        <w:rPr>
          <w:color w:val="000000"/>
          <w:sz w:val="21"/>
          <w:szCs w:val="21"/>
        </w:rPr>
        <w:t>10</w:t>
      </w:r>
      <w:r w:rsidRPr="00DC243F">
        <w:rPr>
          <w:rFonts w:hint="eastAsia"/>
          <w:color w:val="000000"/>
          <w:sz w:val="21"/>
          <w:szCs w:val="21"/>
        </w:rPr>
        <w:t>平方米</w:t>
      </w:r>
      <w:r w:rsidRPr="00DC243F">
        <w:rPr>
          <w:color w:val="000000"/>
          <w:sz w:val="21"/>
          <w:szCs w:val="21"/>
        </w:rPr>
        <w:t>(</w:t>
      </w:r>
      <w:r w:rsidRPr="00DC243F">
        <w:rPr>
          <w:rFonts w:hint="eastAsia"/>
          <w:color w:val="000000"/>
          <w:sz w:val="21"/>
          <w:szCs w:val="21"/>
        </w:rPr>
        <w:t>布线系统</w:t>
      </w:r>
      <w:r w:rsidRPr="00DC243F">
        <w:rPr>
          <w:color w:val="000000"/>
          <w:sz w:val="21"/>
          <w:szCs w:val="21"/>
        </w:rPr>
        <w:t>)</w:t>
      </w:r>
      <w:r w:rsidRPr="00DC243F">
        <w:rPr>
          <w:rFonts w:hint="eastAsia"/>
          <w:color w:val="000000"/>
          <w:sz w:val="21"/>
          <w:szCs w:val="21"/>
        </w:rPr>
        <w:t>。</w:t>
      </w:r>
    </w:p>
    <w:p w:rsidR="00CF7965" w:rsidRDefault="00CF7965"/>
    <w:sectPr w:rsidR="00CF79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65" w:rsidRDefault="00CF7965" w:rsidP="00860FCD">
      <w:r>
        <w:separator/>
      </w:r>
    </w:p>
  </w:endnote>
  <w:endnote w:type="continuationSeparator" w:id="1">
    <w:p w:rsidR="00CF7965" w:rsidRDefault="00CF7965" w:rsidP="00860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65" w:rsidRDefault="00CF7965" w:rsidP="00860FCD">
      <w:r>
        <w:separator/>
      </w:r>
    </w:p>
  </w:footnote>
  <w:footnote w:type="continuationSeparator" w:id="1">
    <w:p w:rsidR="00CF7965" w:rsidRDefault="00CF7965" w:rsidP="00860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E95"/>
    <w:multiLevelType w:val="hybridMultilevel"/>
    <w:tmpl w:val="D7CC4C62"/>
    <w:lvl w:ilvl="0" w:tplc="0409000B">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
    <w:nsid w:val="59F12F8F"/>
    <w:multiLevelType w:val="hybridMultilevel"/>
    <w:tmpl w:val="9934F3E0"/>
    <w:lvl w:ilvl="0" w:tplc="0409000B">
      <w:start w:val="1"/>
      <w:numFmt w:val="bullet"/>
      <w:lvlText w:val=""/>
      <w:lvlJc w:val="left"/>
      <w:pPr>
        <w:ind w:left="883" w:hanging="420"/>
      </w:pPr>
      <w:rPr>
        <w:rFonts w:ascii="Wingdings" w:hAnsi="Wingdings" w:hint="default"/>
      </w:rPr>
    </w:lvl>
    <w:lvl w:ilvl="1" w:tplc="04090003" w:tentative="1">
      <w:start w:val="1"/>
      <w:numFmt w:val="bullet"/>
      <w:lvlText w:val=""/>
      <w:lvlJc w:val="left"/>
      <w:pPr>
        <w:ind w:left="1303" w:hanging="420"/>
      </w:pPr>
      <w:rPr>
        <w:rFonts w:ascii="Wingdings" w:hAnsi="Wingdings" w:hint="default"/>
      </w:rPr>
    </w:lvl>
    <w:lvl w:ilvl="2" w:tplc="04090005"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3" w:tentative="1">
      <w:start w:val="1"/>
      <w:numFmt w:val="bullet"/>
      <w:lvlText w:val=""/>
      <w:lvlJc w:val="left"/>
      <w:pPr>
        <w:ind w:left="2563" w:hanging="420"/>
      </w:pPr>
      <w:rPr>
        <w:rFonts w:ascii="Wingdings" w:hAnsi="Wingdings" w:hint="default"/>
      </w:rPr>
    </w:lvl>
    <w:lvl w:ilvl="5" w:tplc="04090005"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3" w:tentative="1">
      <w:start w:val="1"/>
      <w:numFmt w:val="bullet"/>
      <w:lvlText w:val=""/>
      <w:lvlJc w:val="left"/>
      <w:pPr>
        <w:ind w:left="3823" w:hanging="420"/>
      </w:pPr>
      <w:rPr>
        <w:rFonts w:ascii="Wingdings" w:hAnsi="Wingdings" w:hint="default"/>
      </w:rPr>
    </w:lvl>
    <w:lvl w:ilvl="8" w:tplc="04090005" w:tentative="1">
      <w:start w:val="1"/>
      <w:numFmt w:val="bullet"/>
      <w:lvlText w:val=""/>
      <w:lvlJc w:val="left"/>
      <w:pPr>
        <w:ind w:left="4243"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FCD"/>
    <w:rsid w:val="00860FCD"/>
    <w:rsid w:val="00CF7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CD"/>
    <w:pPr>
      <w:widowControl w:val="0"/>
      <w:jc w:val="both"/>
    </w:pPr>
    <w:rPr>
      <w:rFonts w:ascii="宋体" w:eastAsia="宋体" w:hAnsi="宋体" w:cs="Times New Roman"/>
      <w:sz w:val="24"/>
      <w:szCs w:val="24"/>
    </w:rPr>
  </w:style>
  <w:style w:type="paragraph" w:styleId="1">
    <w:name w:val="heading 1"/>
    <w:basedOn w:val="a"/>
    <w:next w:val="a"/>
    <w:link w:val="1Char"/>
    <w:autoRedefine/>
    <w:qFormat/>
    <w:rsid w:val="00860FCD"/>
    <w:pPr>
      <w:keepNext/>
      <w:keepLines/>
      <w:spacing w:before="120" w:after="120" w:line="360" w:lineRule="auto"/>
      <w:jc w:val="center"/>
      <w:outlineLvl w:val="0"/>
    </w:pPr>
    <w:rPr>
      <w:b/>
      <w:bCs/>
      <w:kern w:val="44"/>
      <w:sz w:val="32"/>
      <w:szCs w:val="32"/>
    </w:rPr>
  </w:style>
  <w:style w:type="paragraph" w:styleId="3">
    <w:name w:val="heading 3"/>
    <w:basedOn w:val="a"/>
    <w:next w:val="a"/>
    <w:link w:val="3Char"/>
    <w:qFormat/>
    <w:rsid w:val="00860FCD"/>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0FCD"/>
    <w:rPr>
      <w:sz w:val="18"/>
      <w:szCs w:val="18"/>
    </w:rPr>
  </w:style>
  <w:style w:type="paragraph" w:styleId="a4">
    <w:name w:val="footer"/>
    <w:basedOn w:val="a"/>
    <w:link w:val="Char0"/>
    <w:uiPriority w:val="99"/>
    <w:semiHidden/>
    <w:unhideWhenUsed/>
    <w:rsid w:val="00860F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0FCD"/>
    <w:rPr>
      <w:sz w:val="18"/>
      <w:szCs w:val="18"/>
    </w:rPr>
  </w:style>
  <w:style w:type="character" w:customStyle="1" w:styleId="1Char">
    <w:name w:val="标题 1 Char"/>
    <w:basedOn w:val="a0"/>
    <w:link w:val="1"/>
    <w:rsid w:val="00860FCD"/>
    <w:rPr>
      <w:rFonts w:ascii="宋体" w:eastAsia="宋体" w:hAnsi="宋体" w:cs="Times New Roman"/>
      <w:b/>
      <w:bCs/>
      <w:kern w:val="44"/>
      <w:sz w:val="32"/>
      <w:szCs w:val="32"/>
    </w:rPr>
  </w:style>
  <w:style w:type="character" w:customStyle="1" w:styleId="3Char">
    <w:name w:val="标题 3 Char"/>
    <w:basedOn w:val="a0"/>
    <w:link w:val="3"/>
    <w:rsid w:val="00860FCD"/>
    <w:rPr>
      <w:rFonts w:ascii="Times New Roman" w:eastAsia="宋体" w:hAnsi="Times New Roman" w:cs="Times New Roman"/>
      <w:b/>
      <w:bCs/>
      <w:sz w:val="32"/>
      <w:szCs w:val="32"/>
    </w:rPr>
  </w:style>
  <w:style w:type="paragraph" w:styleId="a5">
    <w:name w:val="Body Text Indent"/>
    <w:basedOn w:val="a"/>
    <w:link w:val="Char1"/>
    <w:rsid w:val="00860FCD"/>
    <w:pPr>
      <w:spacing w:line="360" w:lineRule="auto"/>
      <w:ind w:firstLineChars="200" w:firstLine="420"/>
    </w:pPr>
    <w:rPr>
      <w:rFonts w:ascii="Times New Roman" w:hAnsi="Times New Roman"/>
      <w:sz w:val="21"/>
    </w:rPr>
  </w:style>
  <w:style w:type="character" w:customStyle="1" w:styleId="Char1">
    <w:name w:val="正文文本缩进 Char"/>
    <w:basedOn w:val="a0"/>
    <w:link w:val="a5"/>
    <w:rsid w:val="00860FCD"/>
    <w:rPr>
      <w:rFonts w:ascii="Times New Roman" w:eastAsia="宋体" w:hAnsi="Times New Roman" w:cs="Times New Roman"/>
      <w:szCs w:val="24"/>
    </w:rPr>
  </w:style>
  <w:style w:type="paragraph" w:styleId="a6">
    <w:name w:val="Normal (Web)"/>
    <w:basedOn w:val="a"/>
    <w:uiPriority w:val="99"/>
    <w:rsid w:val="00860FCD"/>
    <w:pPr>
      <w:widowControl/>
      <w:spacing w:before="100" w:beforeAutospacing="1" w:after="100" w:afterAutospacing="1"/>
      <w:jc w:val="left"/>
    </w:pPr>
    <w:rPr>
      <w:rFonts w:cs="宋体"/>
      <w:kern w:val="0"/>
    </w:rPr>
  </w:style>
  <w:style w:type="paragraph" w:styleId="a7">
    <w:name w:val="List Paragraph"/>
    <w:basedOn w:val="a"/>
    <w:uiPriority w:val="34"/>
    <w:qFormat/>
    <w:rsid w:val="00860FCD"/>
    <w:pPr>
      <w:ind w:firstLineChars="200" w:firstLine="420"/>
    </w:pPr>
    <w:rPr>
      <w:rFonts w:ascii="Times New Roman" w:hAnsi="Times New Roman"/>
      <w:sz w:val="21"/>
    </w:rPr>
  </w:style>
  <w:style w:type="paragraph" w:styleId="a8">
    <w:name w:val="Balloon Text"/>
    <w:basedOn w:val="a"/>
    <w:link w:val="Char2"/>
    <w:uiPriority w:val="99"/>
    <w:semiHidden/>
    <w:unhideWhenUsed/>
    <w:rsid w:val="00860FCD"/>
    <w:rPr>
      <w:sz w:val="18"/>
      <w:szCs w:val="18"/>
    </w:rPr>
  </w:style>
  <w:style w:type="character" w:customStyle="1" w:styleId="Char2">
    <w:name w:val="批注框文本 Char"/>
    <w:basedOn w:val="a0"/>
    <w:link w:val="a8"/>
    <w:uiPriority w:val="99"/>
    <w:semiHidden/>
    <w:rsid w:val="00860FCD"/>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1586</Characters>
  <Application>Microsoft Office Word</Application>
  <DocSecurity>0</DocSecurity>
  <Lines>13</Lines>
  <Paragraphs>3</Paragraphs>
  <ScaleCrop>false</ScaleCrop>
  <Company>Sky123.Org</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2015-07-20T09:53:00Z</dcterms:created>
  <dcterms:modified xsi:type="dcterms:W3CDTF">2015-07-20T09:54:00Z</dcterms:modified>
</cp:coreProperties>
</file>