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snapToGrid w:val="0"/>
        <w:spacing w:line="360" w:lineRule="auto"/>
        <w:rPr>
          <w:rFonts w:cs="Times New Roman"/>
        </w:rPr>
      </w:pPr>
    </w:p>
    <w:p>
      <w:pPr>
        <w:snapToGrid w:val="0"/>
        <w:spacing w:line="360" w:lineRule="auto"/>
        <w:jc w:val="center"/>
        <w:rPr>
          <w:rFonts w:cs="Times New Roman"/>
          <w:b/>
          <w:bCs/>
          <w:sz w:val="72"/>
          <w:szCs w:val="72"/>
        </w:rPr>
      </w:pPr>
      <w:r>
        <w:rPr>
          <w:rFonts w:ascii="宋体" w:hAnsi="宋体" w:eastAsia="宋体" w:cs="Times New Roman"/>
          <w:kern w:val="2"/>
          <w:sz w:val="24"/>
          <w:szCs w:val="24"/>
          <w:lang w:val="en-US" w:eastAsia="zh-CN" w:bidi="ar-SA"/>
        </w:rPr>
        <w:drawing>
          <wp:inline distT="0" distB="0" distL="114300" distR="114300">
            <wp:extent cx="3084195" cy="2818130"/>
            <wp:effectExtent l="0" t="0" r="1905" b="1270"/>
            <wp:docPr id="33" name="图片 33" descr="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logo2"/>
                    <pic:cNvPicPr>
                      <a:picLocks noChangeAspect="1"/>
                    </pic:cNvPicPr>
                  </pic:nvPicPr>
                  <pic:blipFill>
                    <a:blip r:embed="rId6">
                      <a:lum/>
                    </a:blip>
                    <a:srcRect/>
                    <a:stretch>
                      <a:fillRect/>
                    </a:stretch>
                  </pic:blipFill>
                  <pic:spPr>
                    <a:xfrm>
                      <a:off x="0" y="0"/>
                      <a:ext cx="3084195" cy="2818130"/>
                    </a:xfrm>
                    <a:prstGeom prst="rect">
                      <a:avLst/>
                    </a:prstGeom>
                    <a:noFill/>
                    <a:ln w="9525">
                      <a:noFill/>
                      <a:miter/>
                    </a:ln>
                  </pic:spPr>
                </pic:pic>
              </a:graphicData>
            </a:graphic>
          </wp:inline>
        </w:drawing>
      </w:r>
    </w:p>
    <w:p>
      <w:pPr>
        <w:snapToGrid w:val="0"/>
        <w:spacing w:line="360" w:lineRule="auto"/>
        <w:jc w:val="center"/>
        <w:rPr>
          <w:rFonts w:cs="Times New Roman"/>
          <w:sz w:val="52"/>
          <w:szCs w:val="52"/>
        </w:rPr>
      </w:pPr>
    </w:p>
    <w:p>
      <w:pPr>
        <w:snapToGrid w:val="0"/>
        <w:spacing w:line="360" w:lineRule="auto"/>
        <w:rPr>
          <w:rFonts w:cs="Times New Roman"/>
          <w:sz w:val="52"/>
          <w:szCs w:val="52"/>
        </w:rPr>
      </w:pPr>
    </w:p>
    <w:p>
      <w:pPr>
        <w:snapToGrid w:val="0"/>
        <w:spacing w:line="360" w:lineRule="auto"/>
        <w:jc w:val="center"/>
        <w:rPr>
          <w:rFonts w:cs="Times New Roman"/>
          <w:sz w:val="52"/>
          <w:szCs w:val="52"/>
        </w:rPr>
      </w:pPr>
      <w:r>
        <w:rPr>
          <w:rFonts w:hint="eastAsia" w:ascii="隶书" w:eastAsia="隶书" w:cs="隶书"/>
          <w:b/>
          <w:bCs/>
          <w:sz w:val="52"/>
          <w:szCs w:val="52"/>
        </w:rPr>
        <w:t>综合布线</w:t>
      </w:r>
      <w:r>
        <w:rPr>
          <w:rFonts w:hint="eastAsia" w:ascii="隶书" w:eastAsia="隶书" w:cs="隶书"/>
          <w:b/>
          <w:bCs/>
          <w:sz w:val="52"/>
          <w:szCs w:val="52"/>
          <w:lang w:eastAsia="zh-CN"/>
        </w:rPr>
        <w:t>方案</w:t>
      </w:r>
    </w:p>
    <w:p>
      <w:pPr>
        <w:snapToGrid w:val="0"/>
        <w:spacing w:line="360" w:lineRule="auto"/>
        <w:rPr>
          <w:rFonts w:hint="eastAsia" w:eastAsia="宋体" w:cs="Times New Roman"/>
          <w:lang w:eastAsia="zh-CN"/>
        </w:rPr>
      </w:pPr>
      <w:r>
        <w:rPr>
          <w:rFonts w:hint="eastAsia" w:ascii="隶书" w:eastAsia="隶书" w:cs="隶书"/>
          <w:b/>
          <w:bCs/>
          <w:sz w:val="52"/>
          <w:szCs w:val="52"/>
          <w:lang w:val="en-US" w:eastAsia="zh-CN"/>
        </w:rPr>
        <w:t xml:space="preserve">              </w:t>
      </w:r>
      <w:bookmarkStart w:id="140" w:name="_GoBack"/>
      <w:bookmarkEnd w:id="140"/>
      <w:r>
        <w:rPr>
          <w:rFonts w:hint="eastAsia" w:ascii="隶书" w:eastAsia="隶书" w:cs="隶书"/>
          <w:b/>
          <w:bCs/>
          <w:sz w:val="52"/>
          <w:szCs w:val="52"/>
          <w:lang w:eastAsia="zh-CN"/>
        </w:rPr>
        <w:t>投标书</w:t>
      </w:r>
    </w:p>
    <w:p>
      <w:pPr>
        <w:snapToGrid w:val="0"/>
        <w:spacing w:line="360" w:lineRule="auto"/>
        <w:rPr>
          <w:rFonts w:ascii="华文新魏" w:eastAsia="华文新魏" w:cs="Times New Roman"/>
          <w:color w:val="666699"/>
          <w:sz w:val="32"/>
          <w:szCs w:val="32"/>
        </w:rPr>
      </w:pPr>
    </w:p>
    <w:p>
      <w:pPr>
        <w:snapToGrid w:val="0"/>
        <w:spacing w:line="360" w:lineRule="auto"/>
        <w:rPr>
          <w:rFonts w:cs="Times New Roman"/>
          <w:color w:val="666699"/>
          <w:sz w:val="32"/>
          <w:szCs w:val="32"/>
        </w:rPr>
      </w:pPr>
    </w:p>
    <w:p>
      <w:pPr>
        <w:snapToGrid w:val="0"/>
        <w:spacing w:line="360" w:lineRule="auto"/>
        <w:rPr>
          <w:rFonts w:cs="Times New Roman"/>
          <w:color w:val="666699"/>
          <w:sz w:val="32"/>
          <w:szCs w:val="32"/>
        </w:rPr>
      </w:pPr>
    </w:p>
    <w:p>
      <w:pPr>
        <w:snapToGrid w:val="0"/>
        <w:spacing w:line="360" w:lineRule="auto"/>
        <w:jc w:val="center"/>
        <w:rPr>
          <w:b/>
          <w:bCs/>
          <w:color w:val="666699"/>
          <w:sz w:val="32"/>
          <w:szCs w:val="32"/>
        </w:rPr>
      </w:pPr>
      <w:r>
        <w:rPr>
          <w:rFonts w:hint="eastAsia"/>
          <w:b/>
          <w:bCs/>
          <w:color w:val="666699"/>
          <w:sz w:val="32"/>
          <w:szCs w:val="32"/>
        </w:rPr>
        <w:t>广州市唯康通信技术有限公司</w:t>
      </w:r>
      <w:r>
        <w:rPr>
          <w:b/>
          <w:bCs/>
          <w:color w:val="666699"/>
          <w:sz w:val="32"/>
          <w:szCs w:val="32"/>
        </w:rPr>
        <w:t>.</w:t>
      </w:r>
    </w:p>
    <w:p>
      <w:pPr>
        <w:snapToGrid w:val="0"/>
        <w:spacing w:line="360" w:lineRule="auto"/>
        <w:jc w:val="center"/>
        <w:rPr>
          <w:rFonts w:ascii="Calibri" w:hAnsi="Calibri" w:cs="Times New Roman"/>
          <w:caps/>
          <w:color w:val="666699"/>
          <w:sz w:val="32"/>
          <w:szCs w:val="32"/>
        </w:rPr>
      </w:pPr>
    </w:p>
    <w:p>
      <w:pPr>
        <w:snapToGrid w:val="0"/>
        <w:spacing w:line="360" w:lineRule="auto"/>
        <w:jc w:val="center"/>
        <w:rPr>
          <w:rFonts w:ascii="Calibri" w:hAnsi="Calibri" w:cs="Times New Roman"/>
          <w:caps/>
          <w:color w:val="666699"/>
          <w:sz w:val="32"/>
          <w:szCs w:val="32"/>
        </w:rPr>
      </w:pPr>
    </w:p>
    <w:p>
      <w:pPr>
        <w:snapToGrid w:val="0"/>
        <w:spacing w:line="360" w:lineRule="auto"/>
        <w:jc w:val="center"/>
        <w:rPr>
          <w:rFonts w:ascii="Calibri" w:hAnsi="Calibri" w:cs="Times New Roman"/>
          <w:caps/>
          <w:color w:val="666699"/>
          <w:sz w:val="32"/>
          <w:szCs w:val="32"/>
        </w:rPr>
      </w:pPr>
    </w:p>
    <w:p>
      <w:pPr>
        <w:pStyle w:val="2"/>
        <w:jc w:val="both"/>
      </w:pPr>
      <w:bookmarkStart w:id="0" w:name="_Toc279683452"/>
      <w:bookmarkStart w:id="1" w:name="_Toc279683649"/>
      <w:bookmarkStart w:id="2" w:name="_Toc279758038"/>
      <w:r>
        <w:t xml:space="preserve">    </w:t>
      </w:r>
      <w:bookmarkStart w:id="3" w:name="_Toc296880460"/>
    </w:p>
    <w:p>
      <w:pPr>
        <w:pStyle w:val="16"/>
        <w:tabs>
          <w:tab w:val="right" w:leader="dot" w:pos="9026"/>
        </w:tabs>
        <w:rPr>
          <w:rFonts w:ascii="宋体" w:hAnsi="宋体" w:eastAsia="宋体" w:cs="宋体"/>
          <w:kern w:val="2"/>
          <w:szCs w:val="24"/>
          <w:lang w:val="en-US" w:eastAsia="zh-CN" w:bidi="ar-SA"/>
        </w:rPr>
      </w:pPr>
      <w:r>
        <w:fldChar w:fldCharType="begin"/>
      </w:r>
      <w:r>
        <w:instrText xml:space="preserve">TOC \o "1-3" \h \u </w:instrText>
      </w:r>
      <w:r>
        <w:fldChar w:fldCharType="separate"/>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_Toc3136 </w:instrText>
      </w:r>
      <w:r>
        <w:rPr>
          <w:rFonts w:ascii="宋体" w:hAnsi="宋体" w:eastAsia="宋体" w:cs="宋体"/>
          <w:kern w:val="2"/>
          <w:szCs w:val="24"/>
          <w:lang w:val="en-US" w:eastAsia="zh-CN" w:bidi="ar-SA"/>
        </w:rPr>
        <w:fldChar w:fldCharType="separate"/>
      </w:r>
      <w:r>
        <w:rPr>
          <w:rFonts w:hint="eastAsia" w:ascii="宋体" w:hAnsi="宋体" w:eastAsia="宋体" w:cs="宋体"/>
          <w:kern w:val="2"/>
          <w:szCs w:val="24"/>
          <w:lang w:val="en-US" w:eastAsia="zh-CN" w:bidi="ar-SA"/>
        </w:rPr>
        <w:t>第一章</w:t>
      </w:r>
      <w:r>
        <w:rPr>
          <w:rFonts w:ascii="宋体" w:hAnsi="宋体" w:eastAsia="宋体" w:cs="宋体"/>
          <w:kern w:val="2"/>
          <w:szCs w:val="24"/>
          <w:lang w:val="en-US" w:eastAsia="zh-CN" w:bidi="ar-SA"/>
        </w:rPr>
        <w:t xml:space="preserve">  </w:t>
      </w:r>
      <w:r>
        <w:rPr>
          <w:rFonts w:hint="eastAsia" w:ascii="宋体" w:hAnsi="宋体" w:eastAsia="宋体" w:cs="宋体"/>
          <w:kern w:val="2"/>
          <w:szCs w:val="24"/>
          <w:lang w:val="en-US" w:eastAsia="zh-CN" w:bidi="ar-SA"/>
        </w:rPr>
        <w:t>综合布线设计要求</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_Toc3136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2</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_Toc13816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1.1</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综合布线简介</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_Toc13816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2</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16"/>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_Toc6258 </w:instrText>
      </w:r>
      <w:r>
        <w:rPr>
          <w:rFonts w:ascii="宋体" w:hAnsi="宋体" w:eastAsia="宋体" w:cs="宋体"/>
          <w:kern w:val="2"/>
          <w:szCs w:val="24"/>
          <w:lang w:val="en-US" w:eastAsia="zh-CN" w:bidi="ar-SA"/>
        </w:rPr>
        <w:fldChar w:fldCharType="separate"/>
      </w:r>
      <w:r>
        <w:rPr>
          <w:rFonts w:hint="eastAsia" w:ascii="宋体" w:hAnsi="宋体" w:eastAsia="宋体" w:cs="宋体"/>
          <w:kern w:val="2"/>
          <w:szCs w:val="24"/>
          <w:lang w:val="en-US" w:eastAsia="zh-CN" w:bidi="ar-SA"/>
        </w:rPr>
        <w:t>第二章</w:t>
      </w:r>
      <w:r>
        <w:rPr>
          <w:rFonts w:ascii="宋体" w:hAnsi="宋体" w:eastAsia="宋体" w:cs="宋体"/>
          <w:kern w:val="2"/>
          <w:szCs w:val="24"/>
          <w:lang w:val="en-US" w:eastAsia="zh-CN" w:bidi="ar-SA"/>
        </w:rPr>
        <w:t xml:space="preserve">  </w:t>
      </w:r>
      <w:r>
        <w:rPr>
          <w:rFonts w:hint="eastAsia" w:ascii="宋体" w:hAnsi="宋体" w:eastAsia="宋体" w:cs="宋体"/>
          <w:kern w:val="2"/>
          <w:szCs w:val="24"/>
          <w:lang w:val="en-US" w:eastAsia="zh-CN" w:bidi="ar-SA"/>
        </w:rPr>
        <w:t>综合布线厂家资质介绍</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_Toc6258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4</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_Toc3666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2.1公司简介</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_Toc3666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4</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_Toc24637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2.2主要产品</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_Toc24637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6</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_Toc28041 </w:instrText>
      </w:r>
      <w:r>
        <w:rPr>
          <w:rFonts w:ascii="宋体" w:hAnsi="宋体" w:eastAsia="宋体" w:cs="宋体"/>
          <w:kern w:val="2"/>
          <w:szCs w:val="24"/>
          <w:lang w:val="en-US" w:eastAsia="zh-CN" w:bidi="ar-SA"/>
        </w:rPr>
        <w:fldChar w:fldCharType="separate"/>
      </w:r>
      <w:r>
        <w:rPr>
          <w:rFonts w:hint="eastAsia" w:ascii="宋体" w:hAnsi="宋体" w:eastAsia="宋体" w:cs="Times New Roman"/>
          <w:color w:val="0000FF"/>
          <w:kern w:val="2"/>
          <w:szCs w:val="24"/>
          <w:lang w:val="en-US" w:eastAsia="zh-CN" w:bidi="ar-SA"/>
        </w:rPr>
        <w:t>2.3</w:t>
      </w:r>
      <w:r>
        <w:rPr>
          <w:rFonts w:ascii="宋体" w:hAnsi="宋体" w:eastAsia="宋体" w:cs="Times New Roman"/>
          <w:color w:val="0000FF"/>
          <w:kern w:val="2"/>
          <w:szCs w:val="24"/>
          <w:lang w:val="en-US" w:eastAsia="zh-CN" w:bidi="ar-SA"/>
        </w:rPr>
        <w:t xml:space="preserve"> VCOM</w:t>
      </w:r>
      <w:r>
        <w:rPr>
          <w:rFonts w:hint="eastAsia" w:ascii="宋体" w:hAnsi="宋体" w:eastAsia="宋体" w:cs="Times New Roman"/>
          <w:color w:val="0000FF"/>
          <w:kern w:val="2"/>
          <w:szCs w:val="24"/>
          <w:lang w:val="en-US" w:eastAsia="zh-CN" w:bidi="ar-SA"/>
        </w:rPr>
        <w:t>布线系统的特点</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_Toc28041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6</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_Toc9070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2.4</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完善的销售、服务体系</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_Toc9070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7</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_Toc29587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2.5二十年质量保证承诺</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_Toc29587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8</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_Toc19478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2.6</w:t>
      </w:r>
      <w:r>
        <w:rPr>
          <w:rFonts w:ascii="宋体" w:hAnsi="宋体" w:eastAsia="宋体" w:cs="宋体"/>
          <w:color w:val="0000FF"/>
          <w:kern w:val="2"/>
          <w:szCs w:val="24"/>
          <w:lang w:val="en-US" w:eastAsia="zh-CN" w:bidi="ar-SA"/>
        </w:rPr>
        <w:t xml:space="preserve"> VCOM</w:t>
      </w:r>
      <w:r>
        <w:rPr>
          <w:rFonts w:hint="eastAsia" w:ascii="宋体" w:hAnsi="宋体" w:eastAsia="宋体" w:cs="宋体"/>
          <w:color w:val="0000FF"/>
          <w:kern w:val="2"/>
          <w:szCs w:val="24"/>
          <w:lang w:val="en-US" w:eastAsia="zh-CN" w:bidi="ar-SA"/>
        </w:rPr>
        <w:t>布线系统认证工程师教育培训</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_Toc19478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8</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16"/>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_Toc19561 </w:instrText>
      </w:r>
      <w:r>
        <w:rPr>
          <w:rFonts w:ascii="宋体" w:hAnsi="宋体" w:eastAsia="宋体" w:cs="宋体"/>
          <w:kern w:val="2"/>
          <w:szCs w:val="24"/>
          <w:lang w:val="en-US" w:eastAsia="zh-CN" w:bidi="ar-SA"/>
        </w:rPr>
        <w:fldChar w:fldCharType="separate"/>
      </w:r>
      <w:r>
        <w:rPr>
          <w:rFonts w:hint="eastAsia" w:ascii="宋体" w:hAnsi="宋体" w:eastAsia="宋体" w:cs="宋体"/>
          <w:kern w:val="2"/>
          <w:szCs w:val="24"/>
          <w:lang w:val="en-US" w:eastAsia="zh-CN" w:bidi="ar-SA"/>
        </w:rPr>
        <w:t>第三章</w:t>
      </w:r>
      <w:r>
        <w:rPr>
          <w:rFonts w:ascii="宋体" w:hAnsi="宋体" w:eastAsia="宋体" w:cs="宋体"/>
          <w:kern w:val="2"/>
          <w:szCs w:val="24"/>
          <w:lang w:val="en-US" w:eastAsia="zh-CN" w:bidi="ar-SA"/>
        </w:rPr>
        <w:t xml:space="preserve">  </w:t>
      </w:r>
      <w:r>
        <w:rPr>
          <w:rFonts w:hint="eastAsia" w:ascii="宋体" w:hAnsi="宋体" w:eastAsia="宋体" w:cs="宋体"/>
          <w:kern w:val="2"/>
          <w:szCs w:val="24"/>
          <w:lang w:val="en-US" w:eastAsia="zh-CN" w:bidi="ar-SA"/>
        </w:rPr>
        <w:t>综合布线系统设计</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_Toc19561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8</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_Toc16333 </w:instrText>
      </w:r>
      <w:r>
        <w:rPr>
          <w:rFonts w:ascii="宋体" w:hAnsi="宋体" w:eastAsia="宋体" w:cs="宋体"/>
          <w:kern w:val="2"/>
          <w:szCs w:val="24"/>
          <w:lang w:val="en-US" w:eastAsia="zh-CN" w:bidi="ar-SA"/>
        </w:rPr>
        <w:fldChar w:fldCharType="separate"/>
      </w:r>
      <w:r>
        <w:rPr>
          <w:rFonts w:hint="eastAsia" w:ascii="Tahoma" w:hAnsi="Tahoma" w:eastAsia="宋体" w:cs="Tahoma"/>
          <w:color w:val="0000FF"/>
          <w:kern w:val="2"/>
          <w:szCs w:val="24"/>
          <w:lang w:val="en-US" w:eastAsia="zh-CN" w:bidi="ar-SA"/>
        </w:rPr>
        <w:t>3.1</w:t>
      </w:r>
      <w:r>
        <w:rPr>
          <w:rFonts w:ascii="Tahoma" w:hAnsi="Tahoma" w:eastAsia="宋体" w:cs="Tahoma"/>
          <w:color w:val="0000FF"/>
          <w:kern w:val="2"/>
          <w:szCs w:val="24"/>
          <w:lang w:val="en-US" w:eastAsia="zh-CN" w:bidi="ar-SA"/>
        </w:rPr>
        <w:t xml:space="preserve">  </w:t>
      </w:r>
      <w:r>
        <w:rPr>
          <w:rFonts w:hint="eastAsia" w:ascii="Tahoma" w:hAnsi="Tahoma" w:eastAsia="宋体" w:cs="宋体"/>
          <w:color w:val="0000FF"/>
          <w:kern w:val="2"/>
          <w:szCs w:val="24"/>
          <w:lang w:val="en-US" w:eastAsia="zh-CN" w:bidi="ar-SA"/>
        </w:rPr>
        <w:t>项目概况</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_Toc16333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8</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_Toc4795 </w:instrText>
      </w:r>
      <w:r>
        <w:rPr>
          <w:rFonts w:ascii="宋体" w:hAnsi="宋体" w:eastAsia="宋体" w:cs="宋体"/>
          <w:kern w:val="2"/>
          <w:szCs w:val="24"/>
          <w:lang w:val="en-US" w:eastAsia="zh-CN" w:bidi="ar-SA"/>
        </w:rPr>
        <w:fldChar w:fldCharType="separate"/>
      </w:r>
      <w:r>
        <w:rPr>
          <w:rFonts w:hint="eastAsia" w:ascii="Tahoma" w:hAnsi="Tahoma" w:eastAsia="宋体" w:cs="Tahoma"/>
          <w:color w:val="0000FF"/>
          <w:kern w:val="2"/>
          <w:szCs w:val="24"/>
          <w:lang w:val="en-US" w:eastAsia="zh-CN" w:bidi="ar-SA"/>
        </w:rPr>
        <w:t>3.2</w:t>
      </w:r>
      <w:r>
        <w:rPr>
          <w:rFonts w:ascii="Tahoma" w:hAnsi="Tahoma" w:eastAsia="宋体" w:cs="Tahoma"/>
          <w:color w:val="0000FF"/>
          <w:kern w:val="2"/>
          <w:szCs w:val="24"/>
          <w:lang w:val="en-US" w:eastAsia="zh-CN" w:bidi="ar-SA"/>
        </w:rPr>
        <w:t xml:space="preserve"> </w:t>
      </w:r>
      <w:r>
        <w:rPr>
          <w:rFonts w:hint="eastAsia" w:ascii="Tahoma" w:hAnsi="Tahoma" w:eastAsia="宋体" w:cs="宋体"/>
          <w:color w:val="0000FF"/>
          <w:kern w:val="2"/>
          <w:szCs w:val="24"/>
          <w:lang w:val="en-US" w:eastAsia="zh-CN" w:bidi="ar-SA"/>
        </w:rPr>
        <w:t>用户需求</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_Toc4795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9</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_Toc13332 </w:instrText>
      </w:r>
      <w:r>
        <w:rPr>
          <w:rFonts w:ascii="宋体" w:hAnsi="宋体" w:eastAsia="宋体" w:cs="宋体"/>
          <w:kern w:val="2"/>
          <w:szCs w:val="24"/>
          <w:lang w:val="en-US" w:eastAsia="zh-CN" w:bidi="ar-SA"/>
        </w:rPr>
        <w:fldChar w:fldCharType="separate"/>
      </w:r>
      <w:r>
        <w:rPr>
          <w:rFonts w:hint="eastAsia" w:ascii="Tahoma" w:hAnsi="Tahoma" w:eastAsia="宋体" w:cs="Tahoma"/>
          <w:color w:val="0000FF"/>
          <w:kern w:val="2"/>
          <w:szCs w:val="24"/>
          <w:lang w:val="en-US" w:eastAsia="zh-CN" w:bidi="ar-SA"/>
        </w:rPr>
        <w:t>3.3</w:t>
      </w:r>
      <w:r>
        <w:rPr>
          <w:rFonts w:ascii="Tahoma" w:hAnsi="Tahoma" w:eastAsia="宋体" w:cs="Tahoma"/>
          <w:color w:val="0000FF"/>
          <w:kern w:val="2"/>
          <w:szCs w:val="24"/>
          <w:lang w:val="en-US" w:eastAsia="zh-CN" w:bidi="ar-SA"/>
        </w:rPr>
        <w:t xml:space="preserve">  </w:t>
      </w:r>
      <w:r>
        <w:rPr>
          <w:rFonts w:hint="eastAsia" w:ascii="Tahoma" w:hAnsi="Tahoma" w:eastAsia="宋体" w:cs="宋体"/>
          <w:color w:val="0000FF"/>
          <w:kern w:val="2"/>
          <w:szCs w:val="24"/>
          <w:lang w:val="en-US" w:eastAsia="zh-CN" w:bidi="ar-SA"/>
        </w:rPr>
        <w:t>总体设计</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_Toc13332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9</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_Toc23887 </w:instrText>
      </w:r>
      <w:r>
        <w:rPr>
          <w:rFonts w:ascii="宋体" w:hAnsi="宋体" w:eastAsia="宋体" w:cs="宋体"/>
          <w:kern w:val="2"/>
          <w:szCs w:val="24"/>
          <w:lang w:val="en-US" w:eastAsia="zh-CN" w:bidi="ar-SA"/>
        </w:rPr>
        <w:fldChar w:fldCharType="separate"/>
      </w:r>
      <w:r>
        <w:rPr>
          <w:rFonts w:hint="eastAsia" w:ascii="Tahoma" w:hAnsi="Tahoma" w:eastAsia="宋体" w:cs="Tahoma"/>
          <w:color w:val="0000FF"/>
          <w:kern w:val="2"/>
          <w:szCs w:val="24"/>
          <w:lang w:val="en-US" w:eastAsia="zh-CN" w:bidi="ar-SA"/>
        </w:rPr>
        <w:t>3.4</w:t>
      </w:r>
      <w:r>
        <w:rPr>
          <w:rFonts w:ascii="Tahoma" w:hAnsi="Tahoma" w:eastAsia="宋体" w:cs="Tahoma"/>
          <w:color w:val="0000FF"/>
          <w:kern w:val="2"/>
          <w:szCs w:val="24"/>
          <w:lang w:val="en-US" w:eastAsia="zh-CN" w:bidi="ar-SA"/>
        </w:rPr>
        <w:t xml:space="preserve"> </w:t>
      </w:r>
      <w:r>
        <w:rPr>
          <w:rFonts w:hint="eastAsia" w:ascii="Tahoma" w:hAnsi="Tahoma" w:eastAsia="宋体" w:cs="宋体"/>
          <w:color w:val="0000FF"/>
          <w:kern w:val="2"/>
          <w:szCs w:val="24"/>
          <w:lang w:val="en-US" w:eastAsia="zh-CN" w:bidi="ar-SA"/>
        </w:rPr>
        <w:t>工作区子系统</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_Toc23887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10</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_Toc26299 </w:instrText>
      </w:r>
      <w:r>
        <w:rPr>
          <w:rFonts w:ascii="宋体" w:hAnsi="宋体" w:eastAsia="宋体" w:cs="宋体"/>
          <w:kern w:val="2"/>
          <w:szCs w:val="24"/>
          <w:lang w:val="en-US" w:eastAsia="zh-CN" w:bidi="ar-SA"/>
        </w:rPr>
        <w:fldChar w:fldCharType="separate"/>
      </w:r>
      <w:r>
        <w:rPr>
          <w:rFonts w:hint="eastAsia" w:ascii="Tahoma" w:hAnsi="Tahoma" w:eastAsia="宋体" w:cs="Tahoma"/>
          <w:color w:val="0000FF"/>
          <w:kern w:val="2"/>
          <w:szCs w:val="24"/>
          <w:lang w:val="en-US" w:eastAsia="zh-CN" w:bidi="ar-SA"/>
        </w:rPr>
        <w:t>3.5</w:t>
      </w:r>
      <w:r>
        <w:rPr>
          <w:rFonts w:ascii="Tahoma" w:hAnsi="Tahoma" w:eastAsia="宋体" w:cs="Tahoma"/>
          <w:color w:val="0000FF"/>
          <w:kern w:val="2"/>
          <w:szCs w:val="24"/>
          <w:lang w:val="en-US" w:eastAsia="zh-CN" w:bidi="ar-SA"/>
        </w:rPr>
        <w:t xml:space="preserve">  </w:t>
      </w:r>
      <w:r>
        <w:rPr>
          <w:rFonts w:hint="eastAsia" w:ascii="Tahoma" w:hAnsi="Tahoma" w:eastAsia="宋体" w:cs="Tahoma"/>
          <w:color w:val="0000FF"/>
          <w:kern w:val="2"/>
          <w:szCs w:val="24"/>
          <w:lang w:val="en-US" w:eastAsia="zh-CN" w:bidi="ar-SA"/>
        </w:rPr>
        <w:t>水平子系统</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_Toc26299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11</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_Toc29776 </w:instrText>
      </w:r>
      <w:r>
        <w:rPr>
          <w:rFonts w:ascii="宋体" w:hAnsi="宋体" w:eastAsia="宋体" w:cs="宋体"/>
          <w:kern w:val="2"/>
          <w:szCs w:val="24"/>
          <w:lang w:val="en-US" w:eastAsia="zh-CN" w:bidi="ar-SA"/>
        </w:rPr>
        <w:fldChar w:fldCharType="separate"/>
      </w:r>
      <w:r>
        <w:rPr>
          <w:rFonts w:hint="eastAsia" w:ascii="Tahoma" w:hAnsi="Tahoma" w:eastAsia="宋体" w:cs="Tahoma"/>
          <w:color w:val="0000FF"/>
          <w:kern w:val="2"/>
          <w:szCs w:val="24"/>
          <w:lang w:val="en-US" w:eastAsia="zh-CN" w:bidi="ar-SA"/>
        </w:rPr>
        <w:t>3.6</w:t>
      </w:r>
      <w:r>
        <w:rPr>
          <w:rFonts w:ascii="Tahoma" w:hAnsi="Tahoma" w:eastAsia="宋体" w:cs="Tahoma"/>
          <w:color w:val="0000FF"/>
          <w:kern w:val="2"/>
          <w:szCs w:val="24"/>
          <w:lang w:val="en-US" w:eastAsia="zh-CN" w:bidi="ar-SA"/>
        </w:rPr>
        <w:t xml:space="preserve">  </w:t>
      </w:r>
      <w:r>
        <w:rPr>
          <w:rFonts w:hint="eastAsia" w:ascii="Tahoma" w:hAnsi="Tahoma" w:eastAsia="宋体" w:cs="Tahoma"/>
          <w:color w:val="0000FF"/>
          <w:kern w:val="2"/>
          <w:szCs w:val="24"/>
          <w:lang w:val="en-US" w:eastAsia="zh-CN" w:bidi="ar-SA"/>
        </w:rPr>
        <w:t>干线子系统线缆</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_Toc29776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12</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1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_Toc25203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3.7</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设备间系统</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_Toc25203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13</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16"/>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_Toc22038 </w:instrText>
      </w:r>
      <w:r>
        <w:rPr>
          <w:rFonts w:ascii="宋体" w:hAnsi="宋体" w:eastAsia="宋体" w:cs="宋体"/>
          <w:kern w:val="2"/>
          <w:szCs w:val="24"/>
          <w:lang w:val="en-US" w:eastAsia="zh-CN" w:bidi="ar-SA"/>
        </w:rPr>
        <w:fldChar w:fldCharType="separate"/>
      </w:r>
      <w:r>
        <w:rPr>
          <w:rFonts w:hint="eastAsia" w:ascii="宋体" w:hAnsi="宋体" w:eastAsia="宋体" w:cs="宋体"/>
          <w:kern w:val="2"/>
          <w:szCs w:val="24"/>
          <w:lang w:val="en-US" w:eastAsia="zh-CN" w:bidi="ar-SA"/>
        </w:rPr>
        <w:t>第四章</w:t>
      </w:r>
      <w:r>
        <w:rPr>
          <w:rFonts w:ascii="宋体" w:hAnsi="宋体" w:eastAsia="宋体" w:cs="宋体"/>
          <w:kern w:val="2"/>
          <w:szCs w:val="24"/>
          <w:lang w:val="en-US" w:eastAsia="zh-CN" w:bidi="ar-SA"/>
        </w:rPr>
        <w:t xml:space="preserve">  </w:t>
      </w:r>
      <w:r>
        <w:rPr>
          <w:rFonts w:hint="eastAsia" w:ascii="宋体" w:hAnsi="宋体" w:eastAsia="宋体" w:cs="宋体"/>
          <w:kern w:val="2"/>
          <w:szCs w:val="24"/>
          <w:lang w:val="en-US" w:eastAsia="zh-CN" w:bidi="ar-SA"/>
        </w:rPr>
        <w:t>综合布线系统施工及设备安装</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_Toc22038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14</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_Toc30965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4.1</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工程施工内容及要求</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_Toc30965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14</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_Toc12081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4.2</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工作区安装</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_Toc12081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14</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_Toc10086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4.3</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垂直</w:t>
      </w:r>
      <w:r>
        <w:rPr>
          <w:rFonts w:ascii="宋体" w:hAnsi="宋体" w:eastAsia="宋体" w:cs="宋体"/>
          <w:color w:val="0000FF"/>
          <w:kern w:val="2"/>
          <w:szCs w:val="24"/>
          <w:lang w:val="en-US" w:eastAsia="zh-CN" w:bidi="ar-SA"/>
        </w:rPr>
        <w:t>/</w:t>
      </w:r>
      <w:r>
        <w:rPr>
          <w:rFonts w:hint="eastAsia" w:ascii="宋体" w:hAnsi="宋体" w:eastAsia="宋体" w:cs="宋体"/>
          <w:color w:val="0000FF"/>
          <w:kern w:val="2"/>
          <w:szCs w:val="24"/>
          <w:lang w:val="en-US" w:eastAsia="zh-CN" w:bidi="ar-SA"/>
        </w:rPr>
        <w:t>水平布线安装</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_Toc10086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14</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_Toc18359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4.4</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建筑群子系统安装</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_Toc18359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15</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_Toc32485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4.5</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配线架附近的环境要求</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_Toc32485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15</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_Toc14378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4.6接地和防雷</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_Toc14378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16</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16"/>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_Toc14940 </w:instrText>
      </w:r>
      <w:r>
        <w:rPr>
          <w:rFonts w:ascii="宋体" w:hAnsi="宋体" w:eastAsia="宋体" w:cs="宋体"/>
          <w:kern w:val="2"/>
          <w:szCs w:val="24"/>
          <w:lang w:val="en-US" w:eastAsia="zh-CN" w:bidi="ar-SA"/>
        </w:rPr>
        <w:fldChar w:fldCharType="separate"/>
      </w:r>
      <w:r>
        <w:rPr>
          <w:rFonts w:hint="eastAsia" w:ascii="宋体" w:hAnsi="宋体" w:eastAsia="宋体" w:cs="宋体"/>
          <w:kern w:val="2"/>
          <w:szCs w:val="24"/>
          <w:lang w:val="en-US" w:eastAsia="zh-CN" w:bidi="ar-SA"/>
        </w:rPr>
        <w:t>第五章</w:t>
      </w:r>
      <w:r>
        <w:rPr>
          <w:rFonts w:ascii="宋体" w:hAnsi="宋体" w:eastAsia="宋体" w:cs="宋体"/>
          <w:kern w:val="2"/>
          <w:szCs w:val="24"/>
          <w:lang w:val="en-US" w:eastAsia="zh-CN" w:bidi="ar-SA"/>
        </w:rPr>
        <w:t xml:space="preserve">  </w:t>
      </w:r>
      <w:r>
        <w:rPr>
          <w:rFonts w:hint="eastAsia" w:ascii="宋体" w:hAnsi="宋体" w:eastAsia="宋体" w:cs="宋体"/>
          <w:kern w:val="2"/>
          <w:szCs w:val="24"/>
          <w:lang w:val="en-US" w:eastAsia="zh-CN" w:bidi="ar-SA"/>
        </w:rPr>
        <w:t>综合布线产品售后服务</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_Toc14940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18</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pStyle w:val="21"/>
        <w:tabs>
          <w:tab w:val="right" w:leader="dot" w:pos="9026"/>
        </w:tabs>
        <w:rPr>
          <w:rFonts w:ascii="宋体" w:hAnsi="宋体" w:eastAsia="宋体" w:cs="宋体"/>
          <w:kern w:val="2"/>
          <w:szCs w:val="24"/>
          <w:lang w:val="en-US" w:eastAsia="zh-CN" w:bidi="ar-SA"/>
        </w:rPr>
      </w:pP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HYPERLINK \l _Toc2677 </w:instrText>
      </w:r>
      <w:r>
        <w:rPr>
          <w:rFonts w:ascii="宋体" w:hAnsi="宋体" w:eastAsia="宋体" w:cs="宋体"/>
          <w:kern w:val="2"/>
          <w:szCs w:val="24"/>
          <w:lang w:val="en-US" w:eastAsia="zh-CN" w:bidi="ar-SA"/>
        </w:rPr>
        <w:fldChar w:fldCharType="separate"/>
      </w:r>
      <w:r>
        <w:rPr>
          <w:rFonts w:hint="eastAsia" w:ascii="宋体" w:hAnsi="宋体" w:eastAsia="宋体" w:cs="宋体"/>
          <w:color w:val="0000FF"/>
          <w:kern w:val="2"/>
          <w:szCs w:val="24"/>
          <w:lang w:val="en-US" w:eastAsia="zh-CN" w:bidi="ar-SA"/>
        </w:rPr>
        <w:t>5.1</w:t>
      </w:r>
      <w:r>
        <w:rPr>
          <w:rFonts w:ascii="宋体" w:hAnsi="宋体" w:eastAsia="宋体" w:cs="宋体"/>
          <w:color w:val="0000FF"/>
          <w:kern w:val="2"/>
          <w:szCs w:val="24"/>
          <w:lang w:val="en-US" w:eastAsia="zh-CN" w:bidi="ar-SA"/>
        </w:rPr>
        <w:t xml:space="preserve">  </w:t>
      </w:r>
      <w:r>
        <w:rPr>
          <w:rFonts w:hint="eastAsia" w:ascii="宋体" w:hAnsi="宋体" w:eastAsia="宋体" w:cs="宋体"/>
          <w:color w:val="0000FF"/>
          <w:kern w:val="2"/>
          <w:szCs w:val="24"/>
          <w:lang w:val="en-US" w:eastAsia="zh-CN" w:bidi="ar-SA"/>
        </w:rPr>
        <w:t>售后维修</w:t>
      </w:r>
      <w:r>
        <w:rPr>
          <w:rFonts w:ascii="宋体" w:hAnsi="宋体" w:eastAsia="宋体" w:cs="宋体"/>
          <w:color w:val="0000FF"/>
          <w:kern w:val="2"/>
          <w:szCs w:val="24"/>
          <w:lang w:val="en-US" w:eastAsia="zh-CN" w:bidi="ar-SA"/>
        </w:rPr>
        <w:t>/</w:t>
      </w:r>
      <w:r>
        <w:rPr>
          <w:rFonts w:hint="eastAsia" w:ascii="宋体" w:hAnsi="宋体" w:eastAsia="宋体" w:cs="宋体"/>
          <w:color w:val="0000FF"/>
          <w:kern w:val="2"/>
          <w:szCs w:val="24"/>
          <w:lang w:val="en-US" w:eastAsia="zh-CN" w:bidi="ar-SA"/>
        </w:rPr>
        <w:t>服务点名称、电话，负责人员及地址</w:t>
      </w:r>
      <w:r>
        <w:rPr>
          <w:rFonts w:ascii="宋体" w:hAnsi="宋体" w:eastAsia="宋体" w:cs="宋体"/>
          <w:kern w:val="2"/>
          <w:szCs w:val="24"/>
          <w:lang w:val="en-US" w:eastAsia="zh-CN" w:bidi="ar-SA"/>
        </w:rPr>
        <w:tab/>
      </w:r>
      <w:r>
        <w:rPr>
          <w:rFonts w:ascii="宋体" w:hAnsi="宋体" w:eastAsia="宋体" w:cs="宋体"/>
          <w:kern w:val="2"/>
          <w:szCs w:val="24"/>
          <w:lang w:val="en-US" w:eastAsia="zh-CN" w:bidi="ar-SA"/>
        </w:rPr>
        <w:fldChar w:fldCharType="begin"/>
      </w:r>
      <w:r>
        <w:rPr>
          <w:rFonts w:ascii="宋体" w:hAnsi="宋体" w:eastAsia="宋体" w:cs="宋体"/>
          <w:kern w:val="2"/>
          <w:szCs w:val="24"/>
          <w:lang w:val="en-US" w:eastAsia="zh-CN" w:bidi="ar-SA"/>
        </w:rPr>
        <w:instrText xml:space="preserve"> PAGEREF _Toc2677 </w:instrText>
      </w:r>
      <w:r>
        <w:rPr>
          <w:rFonts w:ascii="宋体" w:hAnsi="宋体" w:eastAsia="宋体" w:cs="宋体"/>
          <w:kern w:val="2"/>
          <w:szCs w:val="24"/>
          <w:lang w:val="en-US" w:eastAsia="zh-CN" w:bidi="ar-SA"/>
        </w:rPr>
        <w:fldChar w:fldCharType="separate"/>
      </w:r>
      <w:r>
        <w:rPr>
          <w:rFonts w:ascii="宋体" w:hAnsi="宋体" w:eastAsia="宋体" w:cs="宋体"/>
          <w:kern w:val="2"/>
          <w:szCs w:val="24"/>
          <w:lang w:val="en-US" w:eastAsia="zh-CN" w:bidi="ar-SA"/>
        </w:rPr>
        <w:t>18</w:t>
      </w:r>
      <w:r>
        <w:rPr>
          <w:rFonts w:ascii="宋体" w:hAnsi="宋体" w:eastAsia="宋体" w:cs="宋体"/>
          <w:kern w:val="2"/>
          <w:szCs w:val="24"/>
          <w:lang w:val="en-US" w:eastAsia="zh-CN" w:bidi="ar-SA"/>
        </w:rPr>
        <w:fldChar w:fldCharType="end"/>
      </w:r>
      <w:r>
        <w:rPr>
          <w:rFonts w:ascii="宋体" w:hAnsi="宋体" w:eastAsia="宋体" w:cs="宋体"/>
          <w:kern w:val="2"/>
          <w:szCs w:val="24"/>
          <w:lang w:val="en-US" w:eastAsia="zh-CN" w:bidi="ar-SA"/>
        </w:rPr>
        <w:fldChar w:fldCharType="end"/>
      </w:r>
    </w:p>
    <w:p>
      <w:pPr/>
      <w:r>
        <w:rPr>
          <w:rFonts w:ascii="宋体" w:hAnsi="宋体" w:eastAsia="宋体" w:cs="宋体"/>
          <w:kern w:val="2"/>
          <w:szCs w:val="24"/>
          <w:lang w:val="en-US" w:eastAsia="zh-CN" w:bidi="ar-SA"/>
        </w:rPr>
        <w:fldChar w:fldCharType="end"/>
      </w:r>
    </w:p>
    <w:p>
      <w:pPr>
        <w:pStyle w:val="2"/>
        <w:jc w:val="both"/>
        <w:rPr>
          <w:rFonts w:hint="eastAsia"/>
        </w:rPr>
      </w:pPr>
      <w:bookmarkStart w:id="4" w:name="_Toc3136"/>
    </w:p>
    <w:p>
      <w:pPr>
        <w:rPr>
          <w:rFonts w:hint="eastAsia"/>
        </w:rPr>
      </w:pPr>
    </w:p>
    <w:p>
      <w:pPr>
        <w:rPr>
          <w:rFonts w:hint="eastAsia"/>
        </w:rPr>
      </w:pPr>
    </w:p>
    <w:p>
      <w:pPr>
        <w:rPr>
          <w:rFonts w:hint="eastAsia"/>
        </w:rPr>
      </w:pPr>
    </w:p>
    <w:p>
      <w:pPr>
        <w:rPr>
          <w:rFonts w:hint="eastAsia"/>
        </w:rPr>
      </w:pPr>
    </w:p>
    <w:p>
      <w:pPr>
        <w:pStyle w:val="2"/>
        <w:jc w:val="both"/>
        <w:rPr>
          <w:rFonts w:cs="Times New Roman"/>
        </w:rPr>
      </w:pPr>
      <w:r>
        <w:rPr>
          <w:rFonts w:hint="eastAsia"/>
        </w:rPr>
        <w:t>第</w:t>
      </w:r>
      <w:r>
        <w:rPr>
          <w:rFonts w:hint="eastAsia"/>
          <w:lang w:eastAsia="zh-CN"/>
        </w:rPr>
        <w:t>一</w:t>
      </w:r>
      <w:r>
        <w:rPr>
          <w:rFonts w:hint="eastAsia"/>
        </w:rPr>
        <w:t>章</w:t>
      </w:r>
      <w:r>
        <w:t xml:space="preserve">  </w:t>
      </w:r>
      <w:r>
        <w:rPr>
          <w:rFonts w:hint="eastAsia"/>
        </w:rPr>
        <w:t>综合布线设计要求</w:t>
      </w:r>
      <w:bookmarkEnd w:id="0"/>
      <w:bookmarkEnd w:id="1"/>
      <w:bookmarkEnd w:id="2"/>
      <w:bookmarkEnd w:id="3"/>
      <w:bookmarkEnd w:id="4"/>
    </w:p>
    <w:p>
      <w:pPr>
        <w:pStyle w:val="3"/>
        <w:numPr>
          <w:ilvl w:val="0"/>
          <w:numId w:val="0"/>
        </w:numPr>
        <w:ind w:leftChars="0"/>
        <w:rPr>
          <w:rFonts w:cs="Times New Roman"/>
          <w:color w:val="0000FF"/>
          <w:sz w:val="24"/>
          <w:szCs w:val="24"/>
          <w:lang w:eastAsia="zh-TW"/>
        </w:rPr>
      </w:pPr>
      <w:bookmarkStart w:id="5" w:name="_Toc279683650"/>
      <w:bookmarkStart w:id="6" w:name="_Toc279680184"/>
      <w:bookmarkStart w:id="7" w:name="_Toc279683453"/>
      <w:bookmarkStart w:id="8" w:name="_Toc13816"/>
      <w:bookmarkStart w:id="9" w:name="_Toc279758039"/>
      <w:r>
        <w:rPr>
          <w:rFonts w:hint="eastAsia"/>
          <w:color w:val="0000FF"/>
          <w:sz w:val="24"/>
          <w:szCs w:val="24"/>
          <w:lang w:val="en-US" w:eastAsia="zh-CN"/>
        </w:rPr>
        <w:t>1.1</w:t>
      </w:r>
      <w:r>
        <w:rPr>
          <w:color w:val="0000FF"/>
          <w:sz w:val="24"/>
          <w:szCs w:val="24"/>
        </w:rPr>
        <w:t xml:space="preserve"> </w:t>
      </w:r>
      <w:bookmarkStart w:id="10" w:name="_Toc296880461"/>
      <w:r>
        <w:rPr>
          <w:rFonts w:hint="eastAsia" w:cs="宋体"/>
          <w:color w:val="0000FF"/>
          <w:sz w:val="24"/>
          <w:szCs w:val="24"/>
        </w:rPr>
        <w:t>综合布线简介</w:t>
      </w:r>
      <w:bookmarkEnd w:id="5"/>
      <w:bookmarkEnd w:id="6"/>
      <w:bookmarkEnd w:id="7"/>
      <w:bookmarkEnd w:id="8"/>
      <w:bookmarkEnd w:id="9"/>
      <w:bookmarkEnd w:id="10"/>
    </w:p>
    <w:p>
      <w:pPr>
        <w:pStyle w:val="9"/>
        <w:ind w:firstLine="480"/>
        <w:rPr>
          <w:sz w:val="24"/>
          <w:szCs w:val="24"/>
          <w:lang w:eastAsia="zh-TW"/>
        </w:rPr>
      </w:pPr>
      <w:r>
        <w:rPr>
          <w:rFonts w:hint="eastAsia" w:cs="宋体"/>
          <w:sz w:val="24"/>
          <w:szCs w:val="24"/>
        </w:rPr>
        <w:t>综合布线是一个模块化的、灵活性极高的建筑物内或建筑群之间的信息传输信道，是智能建筑的“信息高速公路”。它既能使语音、数据、图像设备和交换设备与其他信息管理系统彼此相连，也能使这些设备与外部通信网相连接。它包括建筑物外部网络或电信线路的联机点与应用系统设备之间的所有线缆及相关的连接部件。综合布线由不同系列和规格的部件组成，其中包括：传输介质</w:t>
      </w:r>
      <w:r>
        <w:rPr>
          <w:sz w:val="24"/>
          <w:szCs w:val="24"/>
        </w:rPr>
        <w:t>(</w:t>
      </w:r>
      <w:r>
        <w:rPr>
          <w:rFonts w:hint="eastAsia" w:cs="宋体"/>
          <w:sz w:val="24"/>
          <w:szCs w:val="24"/>
        </w:rPr>
        <w:t>含铜缆或光缆</w:t>
      </w:r>
      <w:r>
        <w:rPr>
          <w:sz w:val="24"/>
          <w:szCs w:val="24"/>
        </w:rPr>
        <w:t>)</w:t>
      </w:r>
      <w:r>
        <w:rPr>
          <w:rFonts w:hint="eastAsia" w:cs="宋体"/>
          <w:sz w:val="24"/>
          <w:szCs w:val="24"/>
        </w:rPr>
        <w:t>，电路管理硬件</w:t>
      </w:r>
      <w:r>
        <w:rPr>
          <w:sz w:val="24"/>
          <w:szCs w:val="24"/>
        </w:rPr>
        <w:t>(</w:t>
      </w:r>
      <w:r>
        <w:rPr>
          <w:rFonts w:hint="eastAsia" w:cs="宋体"/>
          <w:sz w:val="24"/>
          <w:szCs w:val="24"/>
        </w:rPr>
        <w:t>交叉连接区域和连接面板</w:t>
      </w:r>
      <w:r>
        <w:rPr>
          <w:sz w:val="24"/>
          <w:szCs w:val="24"/>
        </w:rPr>
        <w:t>)</w:t>
      </w:r>
      <w:r>
        <w:rPr>
          <w:rFonts w:hint="eastAsia" w:cs="宋体"/>
          <w:sz w:val="24"/>
          <w:szCs w:val="24"/>
        </w:rPr>
        <w:t>，连接器，插座，适配器，传输电子设备</w:t>
      </w:r>
      <w:r>
        <w:rPr>
          <w:sz w:val="24"/>
          <w:szCs w:val="24"/>
        </w:rPr>
        <w:t>(</w:t>
      </w:r>
      <w:r>
        <w:rPr>
          <w:rFonts w:hint="eastAsia" w:cs="宋体"/>
          <w:sz w:val="24"/>
          <w:szCs w:val="24"/>
        </w:rPr>
        <w:t>调制解调器，网络中心单元，收发器等</w:t>
      </w:r>
      <w:r>
        <w:rPr>
          <w:sz w:val="24"/>
          <w:szCs w:val="24"/>
        </w:rPr>
        <w:t>),</w:t>
      </w:r>
      <w:r>
        <w:rPr>
          <w:rFonts w:hint="eastAsia" w:cs="宋体"/>
          <w:sz w:val="24"/>
          <w:szCs w:val="24"/>
        </w:rPr>
        <w:t>　电气保护装置</w:t>
      </w:r>
      <w:r>
        <w:rPr>
          <w:sz w:val="24"/>
          <w:szCs w:val="24"/>
        </w:rPr>
        <w:t>(</w:t>
      </w:r>
      <w:r>
        <w:rPr>
          <w:rFonts w:hint="eastAsia" w:cs="宋体"/>
          <w:sz w:val="24"/>
          <w:szCs w:val="24"/>
        </w:rPr>
        <w:t>电浪涌保护器</w:t>
      </w:r>
      <w:r>
        <w:rPr>
          <w:sz w:val="24"/>
          <w:szCs w:val="24"/>
        </w:rPr>
        <w:t>)</w:t>
      </w:r>
      <w:r>
        <w:rPr>
          <w:rFonts w:hint="eastAsia" w:cs="宋体"/>
          <w:sz w:val="24"/>
          <w:szCs w:val="24"/>
        </w:rPr>
        <w:t>以及支持的硬件</w:t>
      </w:r>
      <w:r>
        <w:rPr>
          <w:sz w:val="24"/>
          <w:szCs w:val="24"/>
        </w:rPr>
        <w:t>(</w:t>
      </w:r>
      <w:r>
        <w:rPr>
          <w:rFonts w:hint="eastAsia" w:cs="宋体"/>
          <w:sz w:val="24"/>
          <w:szCs w:val="24"/>
        </w:rPr>
        <w:t>安装和管理系统的各类工具</w:t>
      </w:r>
      <w:r>
        <w:rPr>
          <w:sz w:val="24"/>
          <w:szCs w:val="24"/>
        </w:rPr>
        <w:t>)</w:t>
      </w:r>
      <w:r>
        <w:rPr>
          <w:rFonts w:hint="eastAsia" w:cs="宋体"/>
          <w:sz w:val="24"/>
          <w:szCs w:val="24"/>
        </w:rPr>
        <w:t>。以及电气保护设备等。这些部件可用来构建各种子系统，它们都有各自的具体用途，不仅易于实施，而且能随着需求的变化而平稳升级。一个设计良好的综合布线对其服务的设备应具有一定的独立性，并能互连许多不同应用系统的设备，如模拟式或数字式机的公共系统设备，也应支持图像（电视会议、监视电视）等，即它的所有信息插座能由它所支持的不同种类的设备共享，这就是说同一标准信息插座，可方便地通过跳线定义后即可接插不同通讯协议不同种类的信息设备。</w:t>
      </w:r>
    </w:p>
    <w:p>
      <w:pPr>
        <w:pStyle w:val="9"/>
        <w:ind w:firstLine="480"/>
        <w:rPr>
          <w:sz w:val="24"/>
          <w:szCs w:val="24"/>
          <w:lang w:eastAsia="zh-TW"/>
        </w:rPr>
      </w:pPr>
      <w:r>
        <w:rPr>
          <w:rFonts w:hint="eastAsia" w:cs="宋体"/>
          <w:sz w:val="24"/>
          <w:szCs w:val="24"/>
        </w:rPr>
        <w:t>综合布线系统是在传统布线方法上的一次重大革新，其线缆的传输能力百倍于旧的传输线缆，接口模式已成为国际通用的标准，并把旧的各种标准兼容在内。因此用户无需担心目前和日后的系统应用和升级能力，它采取了模块化结构，配置灵活，设备搬迁，扩充都非常方便，从根本上改变了以往建筑物布线的死板，混乱，复杂的状况。</w:t>
      </w:r>
    </w:p>
    <w:p>
      <w:pPr>
        <w:pStyle w:val="9"/>
        <w:ind w:firstLine="480"/>
        <w:rPr>
          <w:sz w:val="24"/>
          <w:szCs w:val="24"/>
        </w:rPr>
      </w:pPr>
      <w:r>
        <w:rPr>
          <w:rFonts w:hint="eastAsia" w:cs="宋体"/>
          <w:sz w:val="24"/>
          <w:szCs w:val="24"/>
        </w:rPr>
        <w:t>综合布线系统一般由六个独立的子系统组成，采用星型拓扑结构布放线缆，该结构下的每个分支子系统都是相对独立的单元，对每个分支子系统的变动都不会影响整个系统，只要改变结点连接方式就可使综合布线在星型、总线型、环型、树状型等结构之间进行转换。其六个子系统分别为：</w:t>
      </w:r>
    </w:p>
    <w:p>
      <w:pPr>
        <w:pStyle w:val="9"/>
        <w:ind w:firstLine="1200" w:firstLineChars="500"/>
        <w:rPr>
          <w:sz w:val="24"/>
          <w:szCs w:val="24"/>
        </w:rPr>
      </w:pPr>
      <w:r>
        <w:rPr>
          <w:rFonts w:hint="eastAsia" w:cs="宋体"/>
          <w:sz w:val="24"/>
          <w:szCs w:val="24"/>
        </w:rPr>
        <w:t>工作区子系统</w:t>
      </w:r>
      <w:r>
        <w:rPr>
          <w:sz w:val="24"/>
          <w:szCs w:val="24"/>
        </w:rPr>
        <w:t>(Work Area)</w:t>
      </w:r>
    </w:p>
    <w:p>
      <w:pPr>
        <w:pStyle w:val="9"/>
        <w:ind w:firstLine="1200" w:firstLineChars="500"/>
        <w:rPr>
          <w:sz w:val="24"/>
          <w:szCs w:val="24"/>
        </w:rPr>
      </w:pPr>
      <w:r>
        <w:rPr>
          <w:rFonts w:hint="eastAsia" w:cs="宋体"/>
          <w:sz w:val="24"/>
          <w:szCs w:val="24"/>
        </w:rPr>
        <w:t>水平子系统</w:t>
      </w:r>
      <w:r>
        <w:rPr>
          <w:sz w:val="24"/>
          <w:szCs w:val="24"/>
        </w:rPr>
        <w:t>(Floor distributor)</w:t>
      </w:r>
    </w:p>
    <w:p>
      <w:pPr>
        <w:pStyle w:val="9"/>
        <w:ind w:firstLine="1200" w:firstLineChars="500"/>
        <w:rPr>
          <w:sz w:val="24"/>
          <w:szCs w:val="24"/>
        </w:rPr>
      </w:pPr>
      <w:r>
        <w:rPr>
          <w:rFonts w:hint="eastAsia" w:cs="宋体"/>
          <w:sz w:val="24"/>
          <w:szCs w:val="24"/>
        </w:rPr>
        <w:t>管理区子系统</w:t>
      </w:r>
      <w:r>
        <w:rPr>
          <w:sz w:val="24"/>
          <w:szCs w:val="24"/>
        </w:rPr>
        <w:t>(Telecommunications room)</w:t>
      </w:r>
    </w:p>
    <w:p>
      <w:pPr>
        <w:pStyle w:val="9"/>
        <w:ind w:firstLine="1200" w:firstLineChars="500"/>
        <w:rPr>
          <w:sz w:val="24"/>
          <w:szCs w:val="24"/>
        </w:rPr>
      </w:pPr>
      <w:r>
        <w:rPr>
          <w:rFonts w:hint="eastAsia" w:cs="宋体"/>
          <w:sz w:val="24"/>
          <w:szCs w:val="24"/>
        </w:rPr>
        <w:t>干线子系统</w:t>
      </w:r>
      <w:r>
        <w:rPr>
          <w:sz w:val="24"/>
          <w:szCs w:val="24"/>
        </w:rPr>
        <w:t>(Building backbone cabling)</w:t>
      </w:r>
    </w:p>
    <w:p>
      <w:pPr>
        <w:pStyle w:val="9"/>
        <w:ind w:firstLine="1200" w:firstLineChars="500"/>
        <w:rPr>
          <w:sz w:val="24"/>
          <w:szCs w:val="24"/>
        </w:rPr>
      </w:pPr>
      <w:r>
        <w:rPr>
          <w:rFonts w:hint="eastAsia" w:cs="宋体"/>
          <w:sz w:val="24"/>
          <w:szCs w:val="24"/>
        </w:rPr>
        <w:t>设备间子系统</w:t>
      </w:r>
      <w:r>
        <w:rPr>
          <w:sz w:val="24"/>
          <w:szCs w:val="24"/>
        </w:rPr>
        <w:t>(Eqiupment)</w:t>
      </w:r>
    </w:p>
    <w:p>
      <w:pPr>
        <w:pStyle w:val="9"/>
        <w:ind w:firstLine="1200" w:firstLineChars="500"/>
        <w:rPr>
          <w:sz w:val="24"/>
          <w:szCs w:val="24"/>
        </w:rPr>
      </w:pPr>
      <w:r>
        <w:rPr>
          <w:rFonts w:hint="eastAsia" w:cs="宋体"/>
          <w:sz w:val="24"/>
          <w:szCs w:val="24"/>
        </w:rPr>
        <w:t>建筑群子系统</w:t>
      </w:r>
      <w:r>
        <w:rPr>
          <w:sz w:val="24"/>
          <w:szCs w:val="24"/>
        </w:rPr>
        <w:t>(Campus distributor)</w:t>
      </w:r>
    </w:p>
    <w:p>
      <w:pPr>
        <w:pStyle w:val="9"/>
        <w:ind w:firstLine="480"/>
        <w:rPr>
          <w:sz w:val="24"/>
          <w:szCs w:val="24"/>
        </w:rPr>
      </w:pPr>
      <w:r>
        <w:rPr>
          <w:rFonts w:hint="eastAsia" w:cs="宋体"/>
          <w:sz w:val="24"/>
          <w:szCs w:val="24"/>
        </w:rPr>
        <w:t>建筑物与建筑群综合布线结构图如下：</w:t>
      </w:r>
    </w:p>
    <w:p>
      <w:pPr>
        <w:pStyle w:val="9"/>
        <w:ind w:firstLine="480"/>
        <w:rPr>
          <w:sz w:val="24"/>
          <w:szCs w:val="24"/>
        </w:rPr>
      </w:pPr>
    </w:p>
    <w:p>
      <w:pPr>
        <w:pStyle w:val="9"/>
        <w:ind w:firstLine="480"/>
        <w:rPr>
          <w:sz w:val="24"/>
          <w:szCs w:val="24"/>
        </w:rPr>
      </w:pPr>
    </w:p>
    <w:p>
      <w:pPr>
        <w:pStyle w:val="9"/>
        <w:ind w:firstLine="480"/>
        <w:rPr>
          <w:sz w:val="24"/>
          <w:szCs w:val="24"/>
        </w:rPr>
      </w:pPr>
    </w:p>
    <w:p>
      <w:pPr>
        <w:pStyle w:val="9"/>
        <w:ind w:firstLine="480"/>
        <w:rPr>
          <w:sz w:val="24"/>
          <w:szCs w:val="24"/>
        </w:rPr>
      </w:pPr>
    </w:p>
    <w:p>
      <w:pPr>
        <w:pStyle w:val="9"/>
        <w:ind w:firstLine="480"/>
        <w:jc w:val="center"/>
        <w:rPr>
          <w:sz w:val="24"/>
          <w:szCs w:val="24"/>
        </w:rPr>
      </w:pPr>
      <w:r>
        <w:rPr>
          <w:rFonts w:ascii="宋体" w:hAnsi="Times New Roman" w:eastAsia="宋体" w:cs="Times New Roman"/>
          <w:kern w:val="2"/>
          <w:sz w:val="24"/>
          <w:szCs w:val="21"/>
          <w:lang w:val="en-US" w:eastAsia="zh-CN" w:bidi="ar-SA"/>
        </w:rPr>
        <w:object>
          <v:shape id="_x0000_i1025" o:spt="75" type="#_x0000_t75" style="height:268.35pt;width:377pt;" o:ole="t" fillcolor="#FFFFFF" filled="f" o:preferrelative="t" stroked="f" coordsize="21600,21600">
            <v:path/>
            <v:fill on="f" color2="#FFFFFF" focussize="0,0"/>
            <v:stroke on="f"/>
            <v:imagedata r:id="rId8" gain="65536f" blacklevel="0f" gamma="0" o:title=""/>
            <o:lock v:ext="edit" position="f" selection="f" grouping="f" rotation="f" cropping="f" text="f" aspectratio="t"/>
            <w10:wrap type="none"/>
            <w10:anchorlock/>
          </v:shape>
          <o:OLEObject Type="Embed" ProgID="Excel.Sheet.8" ShapeID="_x0000_i1025" DrawAspect="Content" ObjectID="_1468075725" r:id="rId7"/>
        </w:object>
      </w:r>
    </w:p>
    <w:p>
      <w:pPr>
        <w:pStyle w:val="9"/>
        <w:ind w:firstLine="0" w:firstLineChars="0"/>
        <w:jc w:val="center"/>
        <w:rPr>
          <w:rFonts w:ascii="仿宋体"/>
          <w:b/>
          <w:bCs/>
          <w:color w:val="FF0066"/>
        </w:rPr>
      </w:pPr>
      <w:r>
        <w:rPr>
          <w:rFonts w:hint="eastAsia" w:ascii="仿宋体" w:cs="宋体"/>
          <w:b/>
          <w:bCs/>
          <w:color w:val="FF0066"/>
        </w:rPr>
        <w:t>智能大厦综合布线系统拓扑图</w:t>
      </w:r>
    </w:p>
    <w:p>
      <w:pPr>
        <w:pStyle w:val="9"/>
        <w:ind w:firstLine="0" w:firstLineChars="0"/>
        <w:jc w:val="center"/>
        <w:rPr>
          <w:sz w:val="24"/>
          <w:szCs w:val="24"/>
        </w:rPr>
      </w:pPr>
    </w:p>
    <w:p>
      <w:pPr>
        <w:spacing w:line="360" w:lineRule="auto"/>
        <w:ind w:left="840"/>
      </w:pPr>
    </w:p>
    <w:p>
      <w:pPr>
        <w:spacing w:line="360" w:lineRule="auto"/>
        <w:ind w:left="840"/>
        <w:rPr>
          <w:rFonts w:cs="Times New Roman"/>
        </w:rPr>
      </w:pPr>
    </w:p>
    <w:p>
      <w:pPr>
        <w:pStyle w:val="2"/>
        <w:rPr>
          <w:rFonts w:cs="Times New Roman"/>
        </w:rPr>
      </w:pPr>
      <w:bookmarkStart w:id="11" w:name="_Toc296880466"/>
      <w:bookmarkStart w:id="12" w:name="_Toc279758044"/>
      <w:bookmarkStart w:id="13" w:name="_Toc279683655"/>
      <w:bookmarkStart w:id="14" w:name="_Toc279683457"/>
      <w:bookmarkStart w:id="15" w:name="_Toc6258"/>
      <w:bookmarkStart w:id="16" w:name="_Toc48444287"/>
      <w:bookmarkStart w:id="17" w:name="_Toc112466401"/>
      <w:r>
        <w:rPr>
          <w:rFonts w:hint="eastAsia"/>
        </w:rPr>
        <w:t>第</w:t>
      </w:r>
      <w:r>
        <w:rPr>
          <w:rFonts w:hint="eastAsia"/>
          <w:lang w:eastAsia="zh-CN"/>
        </w:rPr>
        <w:t>二</w:t>
      </w:r>
      <w:r>
        <w:rPr>
          <w:rFonts w:hint="eastAsia"/>
        </w:rPr>
        <w:t>章</w:t>
      </w:r>
      <w:r>
        <w:t xml:space="preserve">  </w:t>
      </w:r>
      <w:r>
        <w:rPr>
          <w:rFonts w:hint="eastAsia"/>
        </w:rPr>
        <w:t>综合布线厂家资质介绍</w:t>
      </w:r>
      <w:bookmarkEnd w:id="11"/>
      <w:bookmarkEnd w:id="12"/>
      <w:bookmarkEnd w:id="13"/>
      <w:bookmarkEnd w:id="14"/>
      <w:bookmarkEnd w:id="15"/>
    </w:p>
    <w:p>
      <w:pPr>
        <w:pStyle w:val="3"/>
        <w:numPr>
          <w:ilvl w:val="0"/>
          <w:numId w:val="0"/>
        </w:numPr>
        <w:ind w:leftChars="0"/>
        <w:rPr>
          <w:rFonts w:cs="Times New Roman"/>
          <w:color w:val="0000FF"/>
          <w:sz w:val="24"/>
          <w:szCs w:val="24"/>
        </w:rPr>
      </w:pPr>
      <w:bookmarkStart w:id="18" w:name="_Toc279680190"/>
      <w:bookmarkStart w:id="19" w:name="_Toc279683458"/>
      <w:bookmarkStart w:id="20" w:name="_Toc279758045"/>
      <w:bookmarkStart w:id="21" w:name="_Toc296880467"/>
      <w:bookmarkStart w:id="22" w:name="_Toc279683656"/>
      <w:bookmarkStart w:id="23" w:name="_Toc3666"/>
      <w:r>
        <w:rPr>
          <w:rFonts w:hint="eastAsia" w:cs="宋体"/>
          <w:color w:val="0000FF"/>
          <w:sz w:val="24"/>
          <w:szCs w:val="24"/>
          <w:lang w:val="en-US" w:eastAsia="zh-CN"/>
        </w:rPr>
        <w:t>2.1</w:t>
      </w:r>
      <w:r>
        <w:rPr>
          <w:rFonts w:hint="eastAsia" w:cs="宋体"/>
          <w:color w:val="0000FF"/>
          <w:sz w:val="24"/>
          <w:szCs w:val="24"/>
        </w:rPr>
        <w:t>公司简介</w:t>
      </w:r>
      <w:bookmarkEnd w:id="18"/>
      <w:bookmarkEnd w:id="19"/>
      <w:bookmarkEnd w:id="20"/>
      <w:bookmarkEnd w:id="21"/>
      <w:bookmarkEnd w:id="22"/>
      <w:bookmarkEnd w:id="23"/>
    </w:p>
    <w:p>
      <w:pPr>
        <w:pStyle w:val="36"/>
        <w:spacing w:line="276" w:lineRule="auto"/>
        <w:ind w:left="420" w:firstLine="0" w:firstLineChars="0"/>
        <w:rPr>
          <w:rFonts w:ascii="宋体"/>
          <w:sz w:val="24"/>
        </w:rPr>
      </w:pPr>
      <w:r>
        <w:rPr>
          <w:rFonts w:hint="eastAsia" w:ascii="宋体" w:hAnsi="宋体"/>
          <w:b/>
          <w:sz w:val="24"/>
        </w:rPr>
        <w:t>广州市唯康通信技术有限公司</w:t>
      </w:r>
      <w:r>
        <w:rPr>
          <w:rFonts w:hint="eastAsia" w:ascii="宋体" w:hAnsi="宋体"/>
          <w:sz w:val="24"/>
        </w:rPr>
        <w:t>成立于</w:t>
      </w:r>
      <w:r>
        <w:rPr>
          <w:rFonts w:ascii="宋体" w:hAnsi="宋体"/>
          <w:sz w:val="24"/>
        </w:rPr>
        <w:t>2002</w:t>
      </w:r>
      <w:r>
        <w:rPr>
          <w:rFonts w:hint="eastAsia" w:ascii="宋体" w:hAnsi="宋体"/>
          <w:sz w:val="24"/>
        </w:rPr>
        <w:t>年，位于国家软件产业基地广州天河软</w:t>
      </w:r>
    </w:p>
    <w:p>
      <w:pPr>
        <w:spacing w:line="276" w:lineRule="auto"/>
      </w:pPr>
      <w:r>
        <w:rPr>
          <w:rFonts w:hint="eastAsia"/>
        </w:rPr>
        <w:t>件园，是一家集产品研发、生产和销售、服务于一体的专业从事智能楼宇综合布线系统和教学装置的集团化企业。生产基地位于东莞茶山及江西乐安，共有职工</w:t>
      </w:r>
      <w:r>
        <w:t>1100</w:t>
      </w:r>
      <w:r>
        <w:rPr>
          <w:rFonts w:hint="eastAsia"/>
        </w:rPr>
        <w:t>余人，固定资产</w:t>
      </w:r>
      <w:r>
        <w:t>7000</w:t>
      </w:r>
      <w:r>
        <w:rPr>
          <w:rFonts w:hint="eastAsia"/>
        </w:rPr>
        <w:t>多万元，年产值达</w:t>
      </w:r>
      <w:r>
        <w:t>4.8</w:t>
      </w:r>
      <w:r>
        <w:rPr>
          <w:rFonts w:hint="eastAsia"/>
        </w:rPr>
        <w:t>亿元。</w:t>
      </w:r>
    </w:p>
    <w:p>
      <w:pPr>
        <w:pStyle w:val="36"/>
        <w:spacing w:line="276" w:lineRule="auto"/>
        <w:ind w:left="420" w:firstLine="0" w:firstLineChars="0"/>
        <w:rPr>
          <w:rFonts w:ascii="宋体"/>
          <w:sz w:val="24"/>
        </w:rPr>
      </w:pPr>
      <w:r>
        <w:rPr>
          <w:rFonts w:ascii="宋体" w:hAnsi="宋体"/>
          <w:sz w:val="24"/>
        </w:rPr>
        <w:t>VCOM</w:t>
      </w:r>
      <w:r>
        <w:rPr>
          <w:rFonts w:hint="eastAsia" w:ascii="宋体" w:hAnsi="宋体"/>
          <w:sz w:val="24"/>
        </w:rPr>
        <w:t>品牌代表的不仅是企业形象、产品质量和服务水平，更代表唯康人执着信念、</w:t>
      </w:r>
    </w:p>
    <w:p>
      <w:pPr>
        <w:spacing w:line="276" w:lineRule="auto"/>
      </w:pPr>
      <w:r>
        <w:rPr>
          <w:rFonts w:hint="eastAsia"/>
        </w:rPr>
        <w:t>专业精神和远大追求。</w:t>
      </w:r>
      <w:r>
        <w:rPr>
          <w:rFonts w:hint="eastAsia" w:cs="Arial"/>
          <w:kern w:val="0"/>
        </w:rPr>
        <w:t>经过多年的不断发展和创新，</w:t>
      </w:r>
      <w:r>
        <w:rPr>
          <w:rFonts w:cs="Arial"/>
          <w:kern w:val="0"/>
        </w:rPr>
        <w:t>Vcom</w:t>
      </w:r>
      <w:r>
        <w:rPr>
          <w:rFonts w:hint="eastAsia" w:cs="Arial"/>
          <w:kern w:val="0"/>
        </w:rPr>
        <w:t>已经成为综合布线行业公认的“</w:t>
      </w:r>
      <w:r>
        <w:rPr>
          <w:rFonts w:hint="eastAsia" w:cs="Arial"/>
          <w:color w:val="FF0000"/>
          <w:kern w:val="0"/>
        </w:rPr>
        <w:t>最有价值民族品牌”</w:t>
      </w:r>
      <w:r>
        <w:rPr>
          <w:rFonts w:hint="eastAsia" w:cs="Arial"/>
          <w:kern w:val="0"/>
        </w:rPr>
        <w:t>。</w:t>
      </w:r>
      <w:r>
        <w:rPr>
          <w:rFonts w:cs="Arial"/>
          <w:kern w:val="0"/>
        </w:rPr>
        <w:t>2008</w:t>
      </w:r>
      <w:r>
        <w:rPr>
          <w:rFonts w:hint="eastAsia" w:cs="Arial"/>
          <w:kern w:val="0"/>
        </w:rPr>
        <w:t>年被评为</w:t>
      </w:r>
      <w:r>
        <w:rPr>
          <w:rFonts w:hint="eastAsia" w:cs="Arial"/>
          <w:color w:val="FF0000"/>
          <w:kern w:val="0"/>
        </w:rPr>
        <w:t>“中国通信行业十佳名优品牌”</w:t>
      </w:r>
      <w:r>
        <w:rPr>
          <w:rFonts w:hint="eastAsia" w:cs="Arial"/>
          <w:kern w:val="0"/>
        </w:rPr>
        <w:t>、</w:t>
      </w:r>
      <w:r>
        <w:rPr>
          <w:rFonts w:hint="eastAsia" w:cs="Arial"/>
          <w:color w:val="FF0000"/>
          <w:kern w:val="0"/>
        </w:rPr>
        <w:t>“质量信得过产品”</w:t>
      </w:r>
      <w:r>
        <w:rPr>
          <w:rFonts w:hint="eastAsia" w:cs="Arial"/>
          <w:kern w:val="0"/>
        </w:rPr>
        <w:t>和</w:t>
      </w:r>
      <w:r>
        <w:rPr>
          <w:rFonts w:hint="eastAsia" w:cs="Arial"/>
          <w:color w:val="FF0000"/>
          <w:kern w:val="0"/>
        </w:rPr>
        <w:t>“中国著名品牌”</w:t>
      </w:r>
      <w:r>
        <w:rPr>
          <w:rFonts w:hint="eastAsia" w:cs="Arial"/>
          <w:kern w:val="0"/>
        </w:rPr>
        <w:t>。</w:t>
      </w:r>
      <w:r>
        <w:rPr>
          <w:rFonts w:cs="Arial"/>
          <w:kern w:val="0"/>
        </w:rPr>
        <w:t>2009</w:t>
      </w:r>
      <w:r>
        <w:rPr>
          <w:rFonts w:hint="eastAsia" w:cs="Arial"/>
          <w:kern w:val="0"/>
        </w:rPr>
        <w:t>年广东省人民政府为</w:t>
      </w:r>
      <w:r>
        <w:rPr>
          <w:rFonts w:cs="Arial"/>
          <w:kern w:val="0"/>
        </w:rPr>
        <w:t>VCOM</w:t>
      </w:r>
      <w:r>
        <w:rPr>
          <w:rFonts w:hint="eastAsia" w:cs="Arial"/>
          <w:kern w:val="0"/>
        </w:rPr>
        <w:t>颁发</w:t>
      </w:r>
      <w:r>
        <w:rPr>
          <w:rFonts w:hint="eastAsia" w:cs="Arial"/>
          <w:color w:val="FF0000"/>
          <w:kern w:val="0"/>
        </w:rPr>
        <w:t>“广东省中等职业技术学校技能大赛特别贡献奖”</w:t>
      </w:r>
      <w:r>
        <w:rPr>
          <w:rFonts w:hint="eastAsia" w:cs="Arial"/>
          <w:kern w:val="0"/>
        </w:rPr>
        <w:t>；</w:t>
      </w:r>
      <w:r>
        <w:rPr>
          <w:rFonts w:cs="Arial"/>
          <w:kern w:val="0"/>
        </w:rPr>
        <w:t>2010</w:t>
      </w:r>
      <w:r>
        <w:rPr>
          <w:rFonts w:hint="eastAsia" w:cs="Arial"/>
          <w:kern w:val="0"/>
        </w:rPr>
        <w:t>年荣获</w:t>
      </w:r>
      <w:r>
        <w:rPr>
          <w:rFonts w:hint="eastAsia" w:cs="Arial"/>
          <w:color w:val="FF0000"/>
          <w:kern w:val="0"/>
        </w:rPr>
        <w:t>“全国职业院校技能大赛企业突出贡献奖”</w:t>
      </w:r>
      <w:r>
        <w:rPr>
          <w:rFonts w:hint="eastAsia" w:cs="Arial"/>
          <w:kern w:val="0"/>
        </w:rPr>
        <w:t>。公司先后获得了</w:t>
      </w:r>
      <w:r>
        <w:rPr>
          <w:rFonts w:hint="eastAsia"/>
          <w:color w:val="FF0000"/>
        </w:rPr>
        <w:t>“广东民营高新企业”、“广州市高新企业”、“广州市计算机及网络产品检验协会成员”、“广州市重合同守信用企业”</w:t>
      </w:r>
      <w:r>
        <w:rPr>
          <w:rFonts w:hint="eastAsia"/>
        </w:rPr>
        <w:t>等诸多称号。</w:t>
      </w:r>
    </w:p>
    <w:p>
      <w:pPr>
        <w:pStyle w:val="36"/>
        <w:spacing w:line="360" w:lineRule="auto"/>
        <w:ind w:left="420" w:firstLine="0" w:firstLineChars="0"/>
        <w:rPr>
          <w:rFonts w:ascii="宋体"/>
          <w:sz w:val="24"/>
        </w:rPr>
      </w:pPr>
      <w:r>
        <w:rPr>
          <w:rFonts w:hint="eastAsia" w:ascii="宋体" w:hAnsi="宋体"/>
          <w:sz w:val="24"/>
        </w:rPr>
        <w:t>公司凭借强大的研发团队和生产技术，开发了适合职业教育各类专业所需的综合布</w:t>
      </w:r>
    </w:p>
    <w:p>
      <w:pPr>
        <w:spacing w:line="360" w:lineRule="auto"/>
      </w:pPr>
      <w:r>
        <w:rPr>
          <w:rFonts w:hint="eastAsia"/>
        </w:rPr>
        <w:t>线教学实训装置，以及性能优越的超五类非屏蔽、超五类屏蔽、六类综合布线系统、增强型六类综合布线系统、七类综合布线系统与智能楼宇弱电电缆系列产品，公司相继通过了工信部邮电工业产品认证、国际</w:t>
      </w:r>
      <w:r>
        <w:t>ISO9001(2000)</w:t>
      </w:r>
      <w:r>
        <w:rPr>
          <w:rFonts w:hint="eastAsia"/>
        </w:rPr>
        <w:t>质量体系认证、美国</w:t>
      </w:r>
      <w:r>
        <w:t>UL</w:t>
      </w:r>
      <w:r>
        <w:rPr>
          <w:rFonts w:hint="eastAsia"/>
        </w:rPr>
        <w:t>认证、欧盟</w:t>
      </w:r>
      <w:r>
        <w:t>VDE</w:t>
      </w:r>
      <w:r>
        <w:rPr>
          <w:rFonts w:hint="eastAsia"/>
        </w:rPr>
        <w:t>认证和</w:t>
      </w:r>
      <w:r>
        <w:t>3C</w:t>
      </w:r>
      <w:r>
        <w:rPr>
          <w:rFonts w:hint="eastAsia"/>
        </w:rPr>
        <w:t>认证；其中</w:t>
      </w:r>
      <w:r>
        <w:rPr>
          <w:rFonts w:hint="eastAsia"/>
          <w:color w:val="FF0000"/>
        </w:rPr>
        <w:t>超五类双屏蔽数据线缆结构已经获得国家实用型专利</w:t>
      </w:r>
      <w:r>
        <w:rPr>
          <w:rFonts w:hint="eastAsia"/>
        </w:rPr>
        <w:t>。</w:t>
      </w:r>
    </w:p>
    <w:p>
      <w:pPr>
        <w:pStyle w:val="36"/>
        <w:spacing w:line="360" w:lineRule="auto"/>
        <w:ind w:left="420" w:firstLine="0" w:firstLineChars="0"/>
      </w:pPr>
      <w:r>
        <w:rPr>
          <w:b/>
          <w:color w:val="FF0000"/>
        </w:rPr>
        <w:t>VCOM</w:t>
      </w:r>
      <w:r>
        <w:rPr>
          <w:rFonts w:hint="eastAsia"/>
        </w:rPr>
        <w:t>产品使用国内及国际一流的生产线设备及检测仪器仪表，以高质量为起点，</w:t>
      </w:r>
    </w:p>
    <w:p>
      <w:pPr>
        <w:spacing w:line="360" w:lineRule="auto"/>
      </w:pPr>
      <w:r>
        <w:rPr>
          <w:rFonts w:hint="eastAsia"/>
        </w:rPr>
        <w:t>形成一条具有高科技、智能化、全程监控的生产系统操作平台，以确保公司产品的高品质、高产量。</w:t>
      </w:r>
    </w:p>
    <w:p>
      <w:pPr>
        <w:pStyle w:val="36"/>
        <w:spacing w:line="360" w:lineRule="auto"/>
        <w:ind w:left="420" w:firstLine="0" w:firstLineChars="0"/>
      </w:pPr>
      <w:r>
        <w:rPr>
          <w:b/>
          <w:color w:val="FF0000"/>
        </w:rPr>
        <w:t>VCOM</w:t>
      </w:r>
      <w:r>
        <w:rPr>
          <w:rFonts w:hint="eastAsia"/>
        </w:rPr>
        <w:t>能全面满足客户对商业通信的各项需求，使他们享有高效率、安全性和管理性</w:t>
      </w:r>
    </w:p>
    <w:p>
      <w:pPr>
        <w:spacing w:line="360" w:lineRule="auto"/>
      </w:pPr>
      <w:r>
        <w:rPr>
          <w:rFonts w:hint="eastAsia"/>
        </w:rPr>
        <w:t>能，顺应现在以至未来的需要。缜密的标准适配性结合增值的技术革新，更使</w:t>
      </w:r>
      <w:r>
        <w:t>VCOM</w:t>
      </w:r>
      <w:r>
        <w:rPr>
          <w:rFonts w:hint="eastAsia"/>
        </w:rPr>
        <w:t>解决方案独树一帜。</w:t>
      </w:r>
    </w:p>
    <w:p>
      <w:pPr>
        <w:pStyle w:val="36"/>
        <w:spacing w:line="360" w:lineRule="auto"/>
        <w:ind w:left="420" w:firstLine="0" w:firstLineChars="0"/>
      </w:pPr>
      <w:r>
        <w:rPr>
          <w:b/>
          <w:color w:val="FF0000"/>
        </w:rPr>
        <w:t>VCOM</w:t>
      </w:r>
      <w:r>
        <w:rPr>
          <w:rFonts w:hint="eastAsia"/>
        </w:rPr>
        <w:t>产品在电信、联通、广电、国防、铁路、油田、校园网络等领域得到广泛认同</w:t>
      </w:r>
    </w:p>
    <w:p>
      <w:pPr>
        <w:spacing w:line="360" w:lineRule="auto"/>
      </w:pPr>
      <w:r>
        <w:rPr>
          <w:rFonts w:hint="eastAsia"/>
        </w:rPr>
        <w:t>和接受，并进入美国、俄罗斯、日本、香港及东南亚等地。</w:t>
      </w:r>
    </w:p>
    <w:p>
      <w:pPr>
        <w:pStyle w:val="36"/>
        <w:spacing w:line="360" w:lineRule="auto"/>
        <w:ind w:left="420" w:firstLine="0" w:firstLineChars="0"/>
      </w:pPr>
      <w:r>
        <w:rPr>
          <w:rFonts w:hint="eastAsia"/>
        </w:rPr>
        <w:t>公司在不断创造利润和社会财富的同时也一直致力于综合布线技术人才的培养</w:t>
      </w:r>
      <w:r>
        <w:t>,</w:t>
      </w:r>
      <w:r>
        <w:rPr>
          <w:rFonts w:hint="eastAsia"/>
        </w:rPr>
        <w:t>多年以来先后</w:t>
      </w:r>
    </w:p>
    <w:p>
      <w:pPr>
        <w:spacing w:line="360" w:lineRule="auto"/>
      </w:pPr>
      <w:r>
        <w:rPr>
          <w:rFonts w:hint="eastAsia"/>
        </w:rPr>
        <w:t>与众多院校实施了联合开发综合布线技术教材、订单式人才培养等校企合作项目。为中、高职以及本科院校建立融教学、培训、科研功能一体，具有仿真工作环境的综合布线实训基地，提供完整成熟的解决方案，促使课堂教学与真实工作环境一体化。这样既能让学生学习掌握综合布线技能，又能培养学生自我管理能力、组织协调能力、团体协作能力、企业机制适应能力和市场竞争意识，为他们走上社会后与企业实现“无缝”对接打下坚实的基础。</w:t>
      </w:r>
    </w:p>
    <w:p>
      <w:pPr>
        <w:pStyle w:val="36"/>
        <w:spacing w:line="360" w:lineRule="auto"/>
        <w:ind w:left="420" w:firstLine="0" w:firstLineChars="0"/>
      </w:pPr>
      <w:r>
        <w:rPr>
          <w:rFonts w:hint="eastAsia"/>
        </w:rPr>
        <w:t>以诚为本、追求卓越、创造未来，是唯康的经营理念。激情创新、全新服务、品牌超越、打造</w:t>
      </w:r>
    </w:p>
    <w:p>
      <w:pPr>
        <w:spacing w:line="360" w:lineRule="auto"/>
        <w:rPr>
          <w:rFonts w:cs="Times New Roman"/>
        </w:rPr>
      </w:pPr>
      <w:r>
        <w:rPr>
          <w:rFonts w:hint="eastAsia"/>
        </w:rPr>
        <w:t>国内一流品牌，是我们的目标。创造领先国内之网络布线产品，与全球伙伴结盟，携手共进，推动行业，发展广电及</w:t>
      </w:r>
      <w:r>
        <w:t>IT</w:t>
      </w:r>
      <w:r>
        <w:rPr>
          <w:rFonts w:hint="eastAsia"/>
        </w:rPr>
        <w:t>新经济！</w:t>
      </w:r>
    </w:p>
    <w:p>
      <w:pPr>
        <w:spacing w:line="360" w:lineRule="auto"/>
        <w:ind w:firstLine="480"/>
        <w:jc w:val="center"/>
        <w:rPr>
          <w:rFonts w:cs="Times New Roman"/>
        </w:rPr>
      </w:pPr>
      <w:r>
        <w:rPr>
          <w:rFonts w:ascii="宋体" w:hAnsi="宋体" w:eastAsia="宋体" w:cs="Times New Roman"/>
          <w:kern w:val="0"/>
          <w:sz w:val="24"/>
          <w:szCs w:val="24"/>
          <w:lang w:val="en-US" w:eastAsia="zh-CN" w:bidi="ar-SA"/>
        </w:rPr>
        <w:drawing>
          <wp:inline distT="0" distB="0" distL="114300" distR="114300">
            <wp:extent cx="4330700" cy="2493645"/>
            <wp:effectExtent l="0" t="0" r="12700" b="1905"/>
            <wp:docPr id="3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
                    <pic:cNvPicPr>
                      <a:picLocks noChangeAspect="1"/>
                    </pic:cNvPicPr>
                  </pic:nvPicPr>
                  <pic:blipFill>
                    <a:blip r:embed="rId9">
                      <a:lum/>
                    </a:blip>
                    <a:srcRect/>
                    <a:stretch>
                      <a:fillRect/>
                    </a:stretch>
                  </pic:blipFill>
                  <pic:spPr>
                    <a:xfrm>
                      <a:off x="0" y="0"/>
                      <a:ext cx="4330700" cy="2493645"/>
                    </a:xfrm>
                    <a:prstGeom prst="rect">
                      <a:avLst/>
                    </a:prstGeom>
                    <a:noFill/>
                    <a:ln w="9525">
                      <a:noFill/>
                      <a:miter/>
                    </a:ln>
                  </pic:spPr>
                </pic:pic>
              </a:graphicData>
            </a:graphic>
          </wp:inline>
        </w:drawing>
      </w:r>
    </w:p>
    <w:p>
      <w:pPr>
        <w:spacing w:line="360" w:lineRule="auto"/>
        <w:rPr>
          <w:rFonts w:cs="Times New Roman"/>
        </w:rPr>
      </w:pPr>
    </w:p>
    <w:p>
      <w:pPr>
        <w:pStyle w:val="3"/>
        <w:numPr>
          <w:ilvl w:val="0"/>
          <w:numId w:val="0"/>
        </w:numPr>
        <w:spacing w:before="0" w:after="0"/>
        <w:ind w:leftChars="0"/>
        <w:rPr>
          <w:rFonts w:cs="Times New Roman"/>
          <w:color w:val="0000FF"/>
          <w:sz w:val="24"/>
          <w:szCs w:val="24"/>
        </w:rPr>
      </w:pPr>
      <w:bookmarkStart w:id="24" w:name="_Toc279683459"/>
      <w:bookmarkStart w:id="25" w:name="_Toc279683657"/>
      <w:bookmarkStart w:id="26" w:name="_Toc296880468"/>
      <w:bookmarkStart w:id="27" w:name="_Toc279758046"/>
      <w:bookmarkStart w:id="28" w:name="_Toc279680191"/>
      <w:bookmarkStart w:id="29" w:name="_Toc24637"/>
      <w:r>
        <w:rPr>
          <w:rFonts w:hint="eastAsia" w:cs="宋体"/>
          <w:color w:val="0000FF"/>
          <w:sz w:val="24"/>
          <w:szCs w:val="24"/>
          <w:lang w:val="en-US" w:eastAsia="zh-CN"/>
        </w:rPr>
        <w:t>2.2</w:t>
      </w:r>
      <w:r>
        <w:rPr>
          <w:rFonts w:hint="eastAsia" w:cs="宋体"/>
          <w:color w:val="0000FF"/>
          <w:sz w:val="24"/>
          <w:szCs w:val="24"/>
        </w:rPr>
        <w:t>主要产品</w:t>
      </w:r>
      <w:bookmarkEnd w:id="24"/>
      <w:bookmarkEnd w:id="25"/>
      <w:bookmarkEnd w:id="26"/>
      <w:bookmarkEnd w:id="27"/>
      <w:bookmarkEnd w:id="28"/>
      <w:bookmarkEnd w:id="29"/>
    </w:p>
    <w:p>
      <w:pPr>
        <w:snapToGrid w:val="0"/>
        <w:spacing w:line="360" w:lineRule="auto"/>
        <w:ind w:firstLine="360" w:firstLineChars="150"/>
        <w:rPr>
          <w:rFonts w:cs="Times New Roman"/>
        </w:rPr>
      </w:pPr>
    </w:p>
    <w:p>
      <w:pPr>
        <w:snapToGrid w:val="0"/>
        <w:spacing w:line="360" w:lineRule="auto"/>
        <w:ind w:firstLine="360" w:firstLineChars="150"/>
        <w:rPr>
          <w:rFonts w:cs="Times New Roman"/>
        </w:rPr>
      </w:pPr>
      <w:r>
        <w:rPr>
          <w:rFonts w:hint="eastAsia"/>
        </w:rPr>
        <w:t>唯康公司产品主要涵盖：</w:t>
      </w:r>
    </w:p>
    <w:p>
      <w:pPr>
        <w:numPr>
          <w:ilvl w:val="0"/>
          <w:numId w:val="1"/>
        </w:numPr>
        <w:snapToGrid w:val="0"/>
        <w:spacing w:line="360" w:lineRule="auto"/>
        <w:rPr>
          <w:rFonts w:cs="Times New Roman"/>
        </w:rPr>
      </w:pPr>
      <w:r>
        <w:rPr>
          <w:rFonts w:hint="eastAsia"/>
        </w:rPr>
        <w:t>五类、超五类、超五类电缆、六类、六类屏蔽</w:t>
      </w:r>
      <w:r>
        <w:t>/</w:t>
      </w:r>
      <w:r>
        <w:rPr>
          <w:rFonts w:hint="eastAsia"/>
        </w:rPr>
        <w:t>非屏蔽电缆、光纤以及配线架、理线架、模块、插座、面板、水晶头、标准机柜等综合布线产品；</w:t>
      </w:r>
    </w:p>
    <w:p>
      <w:pPr>
        <w:numPr>
          <w:ilvl w:val="0"/>
          <w:numId w:val="1"/>
        </w:numPr>
        <w:snapToGrid w:val="0"/>
        <w:spacing w:line="360" w:lineRule="auto"/>
        <w:rPr>
          <w:rFonts w:cs="Times New Roman"/>
        </w:rPr>
      </w:pPr>
      <w:r>
        <w:rPr>
          <w:rFonts w:hint="eastAsia"/>
        </w:rPr>
        <w:t>视频监控、门禁、消防、报警等安全防范系列等弱电电缆；</w:t>
      </w:r>
    </w:p>
    <w:p>
      <w:pPr>
        <w:numPr>
          <w:ilvl w:val="0"/>
          <w:numId w:val="1"/>
        </w:numPr>
        <w:snapToGrid w:val="0"/>
        <w:spacing w:line="360" w:lineRule="auto"/>
        <w:rPr>
          <w:rFonts w:cs="Times New Roman"/>
        </w:rPr>
      </w:pPr>
      <w:r>
        <w:t>CATV</w:t>
      </w:r>
      <w:r>
        <w:rPr>
          <w:rFonts w:hint="eastAsia"/>
        </w:rPr>
        <w:t>专用物理发泡编织、铝管系列电缆；</w:t>
      </w:r>
    </w:p>
    <w:p>
      <w:pPr>
        <w:numPr>
          <w:ilvl w:val="0"/>
          <w:numId w:val="1"/>
        </w:numPr>
        <w:snapToGrid w:val="0"/>
        <w:spacing w:line="360" w:lineRule="auto"/>
        <w:rPr>
          <w:rFonts w:cs="Times New Roman"/>
        </w:rPr>
      </w:pPr>
      <w:r>
        <w:rPr>
          <w:rFonts w:hint="eastAsia"/>
        </w:rPr>
        <w:t>话筒线、金银线等音频系列电缆；</w:t>
      </w:r>
    </w:p>
    <w:p>
      <w:pPr>
        <w:numPr>
          <w:ilvl w:val="0"/>
          <w:numId w:val="1"/>
        </w:numPr>
        <w:snapToGrid w:val="0"/>
        <w:spacing w:line="360" w:lineRule="auto"/>
        <w:rPr>
          <w:rFonts w:cs="Times New Roman"/>
        </w:rPr>
      </w:pPr>
      <w:r>
        <w:rPr>
          <w:rFonts w:hint="eastAsia"/>
        </w:rPr>
        <w:t>机柜、网络布线常用的剥线器，压线工具和打线工具系列产品</w:t>
      </w:r>
    </w:p>
    <w:p>
      <w:pPr>
        <w:numPr>
          <w:ilvl w:val="0"/>
          <w:numId w:val="1"/>
        </w:numPr>
        <w:snapToGrid w:val="0"/>
        <w:spacing w:line="360" w:lineRule="auto"/>
        <w:rPr>
          <w:rFonts w:cs="Times New Roman"/>
        </w:rPr>
      </w:pPr>
      <w:r>
        <w:rPr>
          <w:rFonts w:hint="eastAsia"/>
        </w:rPr>
        <w:t>主要用于防火、防油、阻燃、耐腐蚀、特殊场所的特种电缆；</w:t>
      </w:r>
    </w:p>
    <w:p>
      <w:pPr>
        <w:numPr>
          <w:ilvl w:val="0"/>
          <w:numId w:val="1"/>
        </w:numPr>
        <w:snapToGrid w:val="0"/>
        <w:spacing w:line="360" w:lineRule="auto"/>
      </w:pPr>
      <w:r>
        <w:rPr>
          <w:rFonts w:hint="eastAsia"/>
        </w:rPr>
        <w:t>与上述电缆配套的各种连接器和各种多用途综合电缆；</w:t>
      </w:r>
      <w:r>
        <w:t xml:space="preserve"> </w:t>
      </w:r>
    </w:p>
    <w:p>
      <w:pPr>
        <w:numPr>
          <w:ilvl w:val="0"/>
          <w:numId w:val="1"/>
        </w:numPr>
        <w:snapToGrid w:val="0"/>
        <w:spacing w:line="360" w:lineRule="auto"/>
        <w:rPr>
          <w:rFonts w:cs="Times New Roman"/>
          <w:b/>
          <w:bCs/>
          <w:color w:val="FF0000"/>
          <w:sz w:val="21"/>
          <w:szCs w:val="21"/>
        </w:rPr>
      </w:pPr>
      <w:r>
        <w:rPr>
          <w:rFonts w:hint="eastAsia"/>
          <w:b/>
          <w:bCs/>
          <w:color w:val="FF0000"/>
          <w:sz w:val="21"/>
          <w:szCs w:val="21"/>
        </w:rPr>
        <w:t>综合布线系统实训室设备系列、智能楼宇弱电系统实训设备系列以及配套工具和仪器。</w:t>
      </w:r>
    </w:p>
    <w:p>
      <w:pPr>
        <w:snapToGrid w:val="0"/>
        <w:spacing w:line="360" w:lineRule="auto"/>
        <w:ind w:firstLine="494" w:firstLineChars="206"/>
        <w:rPr>
          <w:rFonts w:cs="Times New Roman"/>
        </w:rPr>
      </w:pPr>
      <w:r>
        <w:rPr>
          <w:rFonts w:hint="eastAsia"/>
        </w:rPr>
        <w:t>公司产品经国家信息产业部信息传输线质量监督检测中心、、国家广电总局检测中心、上海电缆研究所等权威机构检验合格，各类产品均拥有行业许可证书和各类资质证书。如国家强制认证证书（</w:t>
      </w:r>
      <w:r>
        <w:t>3C</w:t>
      </w:r>
      <w:r>
        <w:rPr>
          <w:rFonts w:hint="eastAsia"/>
        </w:rPr>
        <w:t>证书）、国家、国家广电局入网证书等行业许可证书以及</w:t>
      </w:r>
      <w:r>
        <w:t>ISO9000</w:t>
      </w:r>
      <w:r>
        <w:rPr>
          <w:rFonts w:hint="eastAsia"/>
        </w:rPr>
        <w:t>系列国际质量保证体系证书等等。</w:t>
      </w:r>
    </w:p>
    <w:p>
      <w:pPr>
        <w:snapToGrid w:val="0"/>
        <w:spacing w:line="360" w:lineRule="auto"/>
        <w:ind w:firstLine="494" w:firstLineChars="206"/>
        <w:rPr>
          <w:rFonts w:cs="Times New Roman"/>
        </w:rPr>
      </w:pPr>
    </w:p>
    <w:p>
      <w:pPr>
        <w:pStyle w:val="3"/>
        <w:numPr>
          <w:ilvl w:val="0"/>
          <w:numId w:val="0"/>
        </w:numPr>
        <w:spacing w:before="0" w:after="0"/>
        <w:ind w:leftChars="0"/>
        <w:rPr>
          <w:rFonts w:cs="Times New Roman"/>
          <w:color w:val="0000FF"/>
          <w:sz w:val="24"/>
          <w:szCs w:val="24"/>
        </w:rPr>
      </w:pPr>
      <w:bookmarkStart w:id="30" w:name="_Toc28041"/>
      <w:bookmarkStart w:id="31" w:name="_Toc279683460"/>
      <w:bookmarkStart w:id="32" w:name="_Toc279680192"/>
      <w:bookmarkStart w:id="33" w:name="_Toc279758047"/>
      <w:bookmarkStart w:id="34" w:name="_Toc279683658"/>
      <w:r>
        <w:rPr>
          <w:rFonts w:hint="eastAsia" w:cs="Times New Roman"/>
          <w:color w:val="0000FF"/>
          <w:sz w:val="24"/>
          <w:szCs w:val="24"/>
          <w:lang w:val="en-US" w:eastAsia="zh-CN"/>
        </w:rPr>
        <w:t>2.3</w:t>
      </w:r>
      <w:r>
        <w:rPr>
          <w:rFonts w:cs="Times New Roman"/>
          <w:color w:val="0000FF"/>
          <w:sz w:val="24"/>
          <w:szCs w:val="24"/>
        </w:rPr>
        <w:t xml:space="preserve"> </w:t>
      </w:r>
      <w:bookmarkStart w:id="35" w:name="_Toc296880469"/>
      <w:r>
        <w:rPr>
          <w:rFonts w:cs="Times New Roman"/>
          <w:color w:val="0000FF"/>
          <w:sz w:val="24"/>
          <w:szCs w:val="24"/>
        </w:rPr>
        <w:t>VCOM</w:t>
      </w:r>
      <w:r>
        <w:rPr>
          <w:rFonts w:hint="eastAsia" w:cs="Times New Roman"/>
          <w:color w:val="0000FF"/>
          <w:sz w:val="24"/>
          <w:szCs w:val="24"/>
        </w:rPr>
        <w:t>布线系统的特点</w:t>
      </w:r>
      <w:bookmarkEnd w:id="30"/>
      <w:bookmarkEnd w:id="35"/>
    </w:p>
    <w:p>
      <w:pPr>
        <w:pStyle w:val="7"/>
        <w:numPr>
          <w:ilvl w:val="0"/>
          <w:numId w:val="2"/>
        </w:numPr>
        <w:spacing w:before="72" w:after="72" w:line="360" w:lineRule="auto"/>
        <w:ind w:firstLineChars="0"/>
        <w:rPr>
          <w:rFonts w:ascii="宋体"/>
          <w:sz w:val="24"/>
        </w:rPr>
      </w:pPr>
      <w:r>
        <w:rPr>
          <w:rFonts w:hint="eastAsia" w:ascii="宋体"/>
          <w:sz w:val="24"/>
        </w:rPr>
        <w:t>开放性：</w:t>
      </w:r>
      <w:r>
        <w:rPr>
          <w:rFonts w:ascii="宋体"/>
          <w:sz w:val="24"/>
        </w:rPr>
        <w:t>VCOM</w:t>
      </w:r>
      <w:r>
        <w:rPr>
          <w:rFonts w:hint="eastAsia" w:ascii="宋体"/>
          <w:sz w:val="24"/>
        </w:rPr>
        <w:t>系统是一套全开放式的布线系统。它具有可传输话音、数据、图</w:t>
      </w:r>
    </w:p>
    <w:p>
      <w:pPr>
        <w:pStyle w:val="7"/>
        <w:spacing w:before="72" w:after="72" w:line="360" w:lineRule="auto"/>
        <w:ind w:firstLine="0" w:firstLineChars="0"/>
        <w:rPr>
          <w:rFonts w:ascii="宋体"/>
          <w:sz w:val="24"/>
        </w:rPr>
      </w:pPr>
      <w:r>
        <w:rPr>
          <w:rFonts w:hint="eastAsia" w:ascii="宋体"/>
          <w:sz w:val="24"/>
        </w:rPr>
        <w:t>像、视频信号、控制信号等；采用光纤可高速、高带宽、远距离地传输数据和高清晰度图像信号。</w:t>
      </w:r>
      <w:r>
        <w:rPr>
          <w:rFonts w:ascii="宋体"/>
          <w:sz w:val="24"/>
        </w:rPr>
        <w:t>VCOM</w:t>
      </w:r>
      <w:r>
        <w:rPr>
          <w:rFonts w:hint="eastAsia" w:ascii="宋体"/>
          <w:sz w:val="24"/>
        </w:rPr>
        <w:t>系统能够支持目前及今后所有的数据、话音及控制设备厂商的应用系统。</w:t>
      </w:r>
    </w:p>
    <w:p>
      <w:pPr>
        <w:pStyle w:val="7"/>
        <w:numPr>
          <w:ilvl w:val="0"/>
          <w:numId w:val="2"/>
        </w:numPr>
        <w:spacing w:before="72" w:after="72" w:line="360" w:lineRule="auto"/>
        <w:ind w:firstLineChars="0"/>
        <w:rPr>
          <w:rFonts w:ascii="宋体"/>
          <w:sz w:val="24"/>
        </w:rPr>
      </w:pPr>
      <w:r>
        <w:rPr>
          <w:rFonts w:hint="eastAsia" w:ascii="宋体"/>
          <w:sz w:val="24"/>
        </w:rPr>
        <w:t>灵活性：由于所有信息系统采用相同的传输介质，因此所有信息通道是通用的。</w:t>
      </w:r>
    </w:p>
    <w:p>
      <w:pPr>
        <w:pStyle w:val="7"/>
        <w:spacing w:before="72" w:after="72" w:line="360" w:lineRule="auto"/>
        <w:ind w:firstLine="0" w:firstLineChars="0"/>
        <w:rPr>
          <w:rFonts w:ascii="宋体"/>
          <w:sz w:val="24"/>
        </w:rPr>
      </w:pPr>
      <w:r>
        <w:rPr>
          <w:rFonts w:hint="eastAsia" w:ascii="宋体"/>
          <w:sz w:val="24"/>
        </w:rPr>
        <w:t>信息通道可以支持电话、传真、多用户终端、以太网、令牌环网、</w:t>
      </w:r>
      <w:r>
        <w:rPr>
          <w:rFonts w:ascii="宋体"/>
          <w:sz w:val="24"/>
        </w:rPr>
        <w:t>CDDI</w:t>
      </w:r>
      <w:r>
        <w:rPr>
          <w:rFonts w:hint="eastAsia" w:ascii="宋体"/>
          <w:sz w:val="24"/>
        </w:rPr>
        <w:t>、</w:t>
      </w:r>
      <w:r>
        <w:rPr>
          <w:rFonts w:ascii="宋体"/>
          <w:sz w:val="24"/>
        </w:rPr>
        <w:t>ATM</w:t>
      </w:r>
      <w:r>
        <w:rPr>
          <w:rFonts w:hint="eastAsia" w:ascii="宋体"/>
          <w:sz w:val="24"/>
        </w:rPr>
        <w:t>以至</w:t>
      </w:r>
      <w:r>
        <w:rPr>
          <w:rFonts w:ascii="宋体"/>
          <w:sz w:val="24"/>
        </w:rPr>
        <w:t>RS232</w:t>
      </w:r>
      <w:r>
        <w:rPr>
          <w:rFonts w:hint="eastAsia" w:ascii="宋体"/>
          <w:sz w:val="24"/>
        </w:rPr>
        <w:t>、</w:t>
      </w:r>
      <w:r>
        <w:rPr>
          <w:rFonts w:ascii="宋体"/>
          <w:sz w:val="24"/>
        </w:rPr>
        <w:t>RS422</w:t>
      </w:r>
      <w:r>
        <w:rPr>
          <w:rFonts w:hint="eastAsia" w:ascii="宋体"/>
          <w:sz w:val="24"/>
        </w:rPr>
        <w:t>、</w:t>
      </w:r>
      <w:r>
        <w:rPr>
          <w:rFonts w:ascii="宋体"/>
          <w:sz w:val="24"/>
        </w:rPr>
        <w:t>RS485</w:t>
      </w:r>
      <w:r>
        <w:rPr>
          <w:rFonts w:hint="eastAsia" w:ascii="宋体"/>
          <w:sz w:val="24"/>
        </w:rPr>
        <w:t>、</w:t>
      </w:r>
      <w:r>
        <w:rPr>
          <w:rFonts w:ascii="宋体"/>
          <w:sz w:val="24"/>
        </w:rPr>
        <w:t>IEEE488</w:t>
      </w:r>
      <w:r>
        <w:rPr>
          <w:rFonts w:hint="eastAsia" w:ascii="宋体"/>
          <w:sz w:val="24"/>
        </w:rPr>
        <w:t>等等。所有设备的开通均不需要改变系统布线，只需作必要的跳线管理即可；系统组网也可灵活多样，各部门既可独立组网，又可方便地互联，为合理组织信息流提供了必要条件。</w:t>
      </w:r>
      <w:r>
        <w:rPr>
          <w:rFonts w:ascii="宋体"/>
          <w:sz w:val="24"/>
        </w:rPr>
        <w:t>VCOM</w:t>
      </w:r>
      <w:r>
        <w:rPr>
          <w:rFonts w:hint="eastAsia" w:ascii="宋体"/>
          <w:sz w:val="24"/>
        </w:rPr>
        <w:t>系统能适应于各种类型的建筑物，各种新旧办公大楼、工业区、教育训练中心、工厂、校区均可使用</w:t>
      </w:r>
      <w:r>
        <w:rPr>
          <w:rFonts w:ascii="宋体"/>
          <w:sz w:val="24"/>
        </w:rPr>
        <w:t>VCOM</w:t>
      </w:r>
      <w:r>
        <w:rPr>
          <w:rFonts w:hint="eastAsia" w:ascii="宋体"/>
          <w:sz w:val="24"/>
        </w:rPr>
        <w:t>系统。</w:t>
      </w:r>
      <w:r>
        <w:rPr>
          <w:rFonts w:ascii="宋体"/>
          <w:sz w:val="24"/>
        </w:rPr>
        <w:t>VCOM</w:t>
      </w:r>
      <w:r>
        <w:rPr>
          <w:rFonts w:hint="eastAsia" w:ascii="宋体"/>
          <w:sz w:val="24"/>
        </w:rPr>
        <w:t>不仅可以满足当前信息传输的需求，而且可以适应将来的网络结构的更改或设备的扩充，可谓以不变应万变。</w:t>
      </w:r>
    </w:p>
    <w:p>
      <w:pPr>
        <w:pStyle w:val="7"/>
        <w:numPr>
          <w:ilvl w:val="0"/>
          <w:numId w:val="2"/>
        </w:numPr>
        <w:spacing w:before="72" w:after="72" w:line="360" w:lineRule="auto"/>
        <w:ind w:firstLineChars="0"/>
        <w:rPr>
          <w:rFonts w:ascii="宋体"/>
          <w:sz w:val="24"/>
        </w:rPr>
      </w:pPr>
      <w:r>
        <w:rPr>
          <w:rFonts w:hint="eastAsia" w:ascii="宋体"/>
          <w:sz w:val="24"/>
        </w:rPr>
        <w:t>可靠性：</w:t>
      </w:r>
      <w:r>
        <w:rPr>
          <w:rFonts w:ascii="宋体"/>
          <w:sz w:val="24"/>
        </w:rPr>
        <w:t>VCOM</w:t>
      </w:r>
      <w:r>
        <w:rPr>
          <w:rFonts w:hint="eastAsia" w:ascii="宋体"/>
          <w:sz w:val="24"/>
        </w:rPr>
        <w:t>系统采用高品质的标准材料，以组合压接的方式构成了一套高标</w:t>
      </w:r>
    </w:p>
    <w:p>
      <w:pPr>
        <w:pStyle w:val="7"/>
        <w:spacing w:before="72" w:after="72" w:line="360" w:lineRule="auto"/>
        <w:ind w:firstLine="0" w:firstLineChars="0"/>
        <w:rPr>
          <w:rFonts w:ascii="宋体"/>
          <w:sz w:val="24"/>
        </w:rPr>
      </w:pPr>
      <w:r>
        <w:rPr>
          <w:rFonts w:hint="eastAsia" w:ascii="宋体"/>
          <w:sz w:val="24"/>
        </w:rPr>
        <w:t>准的信息通道。每条信息通道都采用专用仪器测试，以保证其电气性能。系统布线全部采用物理星型拓扑结构。点到点端接、任何一条线路故障均不影响其他线路的运行；同时为线路的运行维护及故障检修提供了极大的方便，从而保障了系统可靠运行。</w:t>
      </w:r>
      <w:r>
        <w:rPr>
          <w:rFonts w:ascii="宋体"/>
          <w:sz w:val="24"/>
        </w:rPr>
        <w:t>VCOM</w:t>
      </w:r>
      <w:r>
        <w:rPr>
          <w:rFonts w:hint="eastAsia" w:ascii="宋体"/>
          <w:sz w:val="24"/>
        </w:rPr>
        <w:t>的配线架及各种插座都可以反复插接数百次，可以满足网络结构更改、线路重新连接和应用环境不断的变化。</w:t>
      </w:r>
    </w:p>
    <w:p>
      <w:pPr>
        <w:pStyle w:val="7"/>
        <w:numPr>
          <w:ilvl w:val="0"/>
          <w:numId w:val="2"/>
        </w:numPr>
        <w:spacing w:before="72" w:after="72" w:line="360" w:lineRule="auto"/>
        <w:ind w:firstLineChars="0"/>
        <w:rPr>
          <w:rFonts w:ascii="宋体"/>
          <w:sz w:val="24"/>
        </w:rPr>
      </w:pPr>
      <w:r>
        <w:rPr>
          <w:rFonts w:hint="eastAsia" w:ascii="宋体"/>
          <w:sz w:val="24"/>
        </w:rPr>
        <w:t>先进性：唯康通信技术有限公司的技术参数充分体现了</w:t>
      </w:r>
      <w:r>
        <w:rPr>
          <w:rFonts w:ascii="宋体"/>
          <w:sz w:val="24"/>
        </w:rPr>
        <w:t>VCOM</w:t>
      </w:r>
      <w:r>
        <w:rPr>
          <w:rFonts w:hint="eastAsia" w:ascii="宋体"/>
          <w:sz w:val="24"/>
        </w:rPr>
        <w:t>产品的先进性。</w:t>
      </w:r>
    </w:p>
    <w:p>
      <w:pPr>
        <w:pStyle w:val="7"/>
        <w:numPr>
          <w:ilvl w:val="0"/>
          <w:numId w:val="2"/>
        </w:numPr>
        <w:spacing w:before="72" w:after="72" w:line="360" w:lineRule="auto"/>
        <w:ind w:firstLineChars="0"/>
        <w:rPr>
          <w:rFonts w:ascii="宋体"/>
          <w:sz w:val="24"/>
        </w:rPr>
      </w:pPr>
      <w:r>
        <w:rPr>
          <w:rFonts w:hint="eastAsia" w:ascii="宋体"/>
          <w:sz w:val="24"/>
        </w:rPr>
        <w:t>模块化：由于</w:t>
      </w:r>
      <w:r>
        <w:rPr>
          <w:rFonts w:ascii="宋体"/>
          <w:sz w:val="24"/>
        </w:rPr>
        <w:t>VCOM</w:t>
      </w:r>
      <w:r>
        <w:rPr>
          <w:rFonts w:hint="eastAsia" w:ascii="宋体"/>
          <w:sz w:val="24"/>
        </w:rPr>
        <w:t>系统采用了模块化结构，使</w:t>
      </w:r>
      <w:r>
        <w:rPr>
          <w:rFonts w:ascii="宋体"/>
          <w:sz w:val="24"/>
        </w:rPr>
        <w:t>VCOM</w:t>
      </w:r>
      <w:r>
        <w:rPr>
          <w:rFonts w:hint="eastAsia" w:ascii="宋体"/>
          <w:sz w:val="24"/>
        </w:rPr>
        <w:t>系统能够通过轻易地更改</w:t>
      </w:r>
    </w:p>
    <w:p>
      <w:pPr>
        <w:pStyle w:val="7"/>
        <w:spacing w:before="72" w:after="72" w:line="360" w:lineRule="auto"/>
        <w:ind w:firstLine="0" w:firstLineChars="0"/>
        <w:rPr>
          <w:rFonts w:ascii="宋体"/>
          <w:sz w:val="24"/>
        </w:rPr>
      </w:pPr>
      <w:r>
        <w:rPr>
          <w:rFonts w:hint="eastAsia" w:ascii="宋体"/>
          <w:sz w:val="24"/>
        </w:rPr>
        <w:t>网络的结构和线路的连接方式，来满足科学技术的发展和应用环境的变化。</w:t>
      </w:r>
      <w:r>
        <w:rPr>
          <w:rFonts w:ascii="宋体"/>
          <w:sz w:val="24"/>
        </w:rPr>
        <w:t>VCOM</w:t>
      </w:r>
      <w:r>
        <w:rPr>
          <w:rFonts w:hint="eastAsia" w:ascii="宋体"/>
          <w:sz w:val="24"/>
        </w:rPr>
        <w:t>系统能够适应不同规模的综合布线环境，可随用户的需要而增减</w:t>
      </w:r>
      <w:r>
        <w:rPr>
          <w:rFonts w:ascii="宋体"/>
          <w:sz w:val="24"/>
        </w:rPr>
        <w:t>(</w:t>
      </w:r>
      <w:r>
        <w:rPr>
          <w:rFonts w:hint="eastAsia" w:ascii="宋体"/>
          <w:sz w:val="24"/>
        </w:rPr>
        <w:t>跳线、跳线面板等</w:t>
      </w:r>
      <w:r>
        <w:rPr>
          <w:rFonts w:ascii="宋体"/>
          <w:sz w:val="24"/>
        </w:rPr>
        <w:t>)</w:t>
      </w:r>
      <w:r>
        <w:rPr>
          <w:rFonts w:hint="eastAsia" w:ascii="宋体"/>
          <w:sz w:val="24"/>
        </w:rPr>
        <w:t>。</w:t>
      </w:r>
    </w:p>
    <w:p>
      <w:pPr>
        <w:rPr>
          <w:sz w:val="21"/>
          <w:szCs w:val="21"/>
        </w:rPr>
      </w:pPr>
    </w:p>
    <w:p>
      <w:pPr>
        <w:pStyle w:val="3"/>
        <w:numPr>
          <w:ilvl w:val="0"/>
          <w:numId w:val="0"/>
        </w:numPr>
        <w:spacing w:before="0" w:after="0"/>
        <w:ind w:leftChars="0"/>
        <w:rPr>
          <w:rFonts w:cs="Times New Roman"/>
          <w:color w:val="0000FF"/>
          <w:sz w:val="24"/>
          <w:szCs w:val="24"/>
        </w:rPr>
      </w:pPr>
      <w:bookmarkStart w:id="36" w:name="_Toc9070"/>
      <w:r>
        <w:rPr>
          <w:rFonts w:hint="eastAsia" w:cs="宋体"/>
          <w:color w:val="0000FF"/>
          <w:sz w:val="24"/>
          <w:szCs w:val="24"/>
          <w:lang w:val="en-US" w:eastAsia="zh-CN"/>
        </w:rPr>
        <w:t>2.4</w:t>
      </w:r>
      <w:r>
        <w:rPr>
          <w:rFonts w:cs="宋体"/>
          <w:color w:val="0000FF"/>
          <w:sz w:val="24"/>
          <w:szCs w:val="24"/>
        </w:rPr>
        <w:t xml:space="preserve"> </w:t>
      </w:r>
      <w:bookmarkStart w:id="37" w:name="_Toc296880470"/>
      <w:r>
        <w:rPr>
          <w:rFonts w:hint="eastAsia" w:cs="宋体"/>
          <w:color w:val="0000FF"/>
          <w:sz w:val="24"/>
          <w:szCs w:val="24"/>
        </w:rPr>
        <w:t>完善的销售、服务体系</w:t>
      </w:r>
      <w:bookmarkEnd w:id="31"/>
      <w:bookmarkEnd w:id="32"/>
      <w:bookmarkEnd w:id="33"/>
      <w:bookmarkEnd w:id="34"/>
      <w:bookmarkEnd w:id="36"/>
      <w:bookmarkEnd w:id="37"/>
    </w:p>
    <w:p>
      <w:pPr>
        <w:spacing w:line="360" w:lineRule="auto"/>
        <w:ind w:firstLine="480"/>
        <w:rPr>
          <w:rFonts w:cs="Times New Roman"/>
        </w:rPr>
      </w:pPr>
      <w:r>
        <w:rPr>
          <w:rFonts w:hint="eastAsia"/>
        </w:rPr>
        <w:t>唯康遍布北京、上海、重庆、济南等</w:t>
      </w:r>
      <w:r>
        <w:t>30</w:t>
      </w:r>
      <w:r>
        <w:rPr>
          <w:rFonts w:hint="eastAsia"/>
        </w:rPr>
        <w:t>多个城市设有分公司或办事处，以诚为本、追求卓越、创造未来的经营理念。激情创新、全新服务、品牌超越、打造国内一流品牌的目标。创造领先国内之网络布线产品，与全球伙伴结盟，携手共进，推动行业，发展广电及</w:t>
      </w:r>
      <w:r>
        <w:t>IT</w:t>
      </w:r>
      <w:r>
        <w:rPr>
          <w:rFonts w:hint="eastAsia"/>
        </w:rPr>
        <w:t>新经济！</w:t>
      </w:r>
      <w:r>
        <w:t xml:space="preserve"> </w:t>
      </w:r>
    </w:p>
    <w:p>
      <w:pPr>
        <w:spacing w:line="360" w:lineRule="auto"/>
        <w:ind w:firstLine="480"/>
        <w:rPr>
          <w:rFonts w:cs="Times New Roman"/>
        </w:rPr>
      </w:pPr>
    </w:p>
    <w:p>
      <w:pPr>
        <w:pStyle w:val="3"/>
        <w:numPr>
          <w:ilvl w:val="0"/>
          <w:numId w:val="0"/>
        </w:numPr>
        <w:spacing w:before="0" w:after="0"/>
        <w:ind w:leftChars="0"/>
        <w:rPr>
          <w:rFonts w:cs="Times New Roman"/>
          <w:color w:val="0000FF"/>
          <w:sz w:val="24"/>
          <w:szCs w:val="24"/>
        </w:rPr>
      </w:pPr>
      <w:bookmarkStart w:id="38" w:name="_Toc29587"/>
      <w:bookmarkStart w:id="39" w:name="_Toc279680193"/>
      <w:bookmarkStart w:id="40" w:name="_Toc279683461"/>
      <w:bookmarkStart w:id="41" w:name="_Toc296880471"/>
      <w:bookmarkStart w:id="42" w:name="_Toc279683659"/>
      <w:bookmarkStart w:id="43" w:name="_Toc279758048"/>
      <w:r>
        <w:rPr>
          <w:rFonts w:hint="eastAsia" w:cs="宋体"/>
          <w:color w:val="0000FF"/>
          <w:sz w:val="24"/>
          <w:szCs w:val="24"/>
          <w:lang w:val="en-US" w:eastAsia="zh-CN"/>
        </w:rPr>
        <w:t>2.5</w:t>
      </w:r>
      <w:r>
        <w:rPr>
          <w:rFonts w:hint="eastAsia" w:cs="宋体"/>
          <w:color w:val="0000FF"/>
          <w:sz w:val="24"/>
          <w:szCs w:val="24"/>
        </w:rPr>
        <w:t>二十年质量保证承诺</w:t>
      </w:r>
      <w:bookmarkEnd w:id="38"/>
      <w:bookmarkEnd w:id="39"/>
      <w:bookmarkEnd w:id="40"/>
      <w:bookmarkEnd w:id="41"/>
      <w:bookmarkEnd w:id="42"/>
      <w:bookmarkEnd w:id="43"/>
    </w:p>
    <w:p>
      <w:pPr>
        <w:snapToGrid w:val="0"/>
        <w:spacing w:line="360" w:lineRule="auto"/>
        <w:ind w:firstLine="494" w:firstLineChars="206"/>
        <w:rPr>
          <w:rFonts w:cs="Times New Roman"/>
        </w:rPr>
      </w:pPr>
      <w:r>
        <w:rPr>
          <w:rFonts w:hint="eastAsia"/>
        </w:rPr>
        <w:t>使用</w:t>
      </w:r>
      <w:r>
        <w:t>VCOM</w:t>
      </w:r>
      <w:r>
        <w:rPr>
          <w:rFonts w:hint="eastAsia"/>
        </w:rPr>
        <w:t>全系列产品，由广州市唯康通信技术有限公司认证工程师按</w:t>
      </w:r>
      <w:r>
        <w:t>TIA/EIA-568C</w:t>
      </w:r>
      <w:r>
        <w:rPr>
          <w:rFonts w:hint="eastAsia"/>
        </w:rPr>
        <w:t>或</w:t>
      </w:r>
      <w:r>
        <w:t>ISO 11801</w:t>
      </w:r>
      <w:r>
        <w:rPr>
          <w:rFonts w:hint="eastAsia"/>
        </w:rPr>
        <w:t>、</w:t>
      </w:r>
      <w:r>
        <w:t>GB 50311-2007</w:t>
      </w:r>
      <w:r>
        <w:rPr>
          <w:rFonts w:hint="eastAsia"/>
        </w:rPr>
        <w:t>、</w:t>
      </w:r>
      <w:r>
        <w:t>GB 50312-2007</w:t>
      </w:r>
      <w:r>
        <w:rPr>
          <w:rFonts w:hint="eastAsia"/>
        </w:rPr>
        <w:t>规范设计、施工、安装的综合布线系统工程，按国标测试标准验收合格，经过申请即可获得广州市唯康通信技术有限公司提供二十年的产品质量应用保证。</w:t>
      </w:r>
    </w:p>
    <w:p>
      <w:pPr>
        <w:snapToGrid w:val="0"/>
        <w:spacing w:line="360" w:lineRule="auto"/>
        <w:ind w:firstLine="494" w:firstLineChars="206"/>
        <w:rPr>
          <w:rFonts w:cs="Times New Roman"/>
        </w:rPr>
      </w:pPr>
    </w:p>
    <w:p>
      <w:pPr>
        <w:pStyle w:val="3"/>
        <w:numPr>
          <w:ilvl w:val="0"/>
          <w:numId w:val="0"/>
        </w:numPr>
        <w:spacing w:before="0" w:after="0"/>
        <w:ind w:leftChars="0"/>
        <w:rPr>
          <w:rFonts w:cs="Times New Roman"/>
          <w:color w:val="0000FF"/>
          <w:sz w:val="24"/>
          <w:szCs w:val="24"/>
        </w:rPr>
      </w:pPr>
      <w:bookmarkStart w:id="44" w:name="_Toc279680194"/>
      <w:bookmarkStart w:id="45" w:name="_Toc19478"/>
      <w:r>
        <w:rPr>
          <w:rFonts w:hint="eastAsia"/>
          <w:color w:val="0000FF"/>
          <w:sz w:val="24"/>
          <w:szCs w:val="24"/>
          <w:lang w:val="en-US" w:eastAsia="zh-CN"/>
        </w:rPr>
        <w:t>2.6</w:t>
      </w:r>
      <w:r>
        <w:rPr>
          <w:color w:val="0000FF"/>
          <w:sz w:val="24"/>
          <w:szCs w:val="24"/>
        </w:rPr>
        <w:t xml:space="preserve"> </w:t>
      </w:r>
      <w:bookmarkStart w:id="46" w:name="_Toc296880472"/>
      <w:bookmarkStart w:id="47" w:name="_Toc279758049"/>
      <w:bookmarkStart w:id="48" w:name="_Toc279683660"/>
      <w:bookmarkStart w:id="49" w:name="_Toc279683462"/>
      <w:r>
        <w:rPr>
          <w:color w:val="0000FF"/>
          <w:sz w:val="24"/>
          <w:szCs w:val="24"/>
        </w:rPr>
        <w:t>VCOM</w:t>
      </w:r>
      <w:r>
        <w:rPr>
          <w:rFonts w:hint="eastAsia" w:cs="宋体"/>
          <w:color w:val="0000FF"/>
          <w:sz w:val="24"/>
          <w:szCs w:val="24"/>
        </w:rPr>
        <w:t>布线系统认证工程师教育培训</w:t>
      </w:r>
      <w:bookmarkEnd w:id="44"/>
      <w:bookmarkEnd w:id="45"/>
      <w:bookmarkEnd w:id="46"/>
      <w:bookmarkEnd w:id="47"/>
      <w:bookmarkEnd w:id="48"/>
      <w:bookmarkEnd w:id="49"/>
    </w:p>
    <w:p>
      <w:pPr>
        <w:snapToGrid w:val="0"/>
        <w:spacing w:line="360" w:lineRule="auto"/>
        <w:ind w:firstLine="494" w:firstLineChars="206"/>
        <w:rPr>
          <w:rFonts w:cs="Times New Roman"/>
          <w:lang w:eastAsia="zh-TW"/>
        </w:rPr>
      </w:pPr>
      <w:r>
        <w:t>VCOM</w:t>
      </w:r>
      <w:r>
        <w:rPr>
          <w:rFonts w:hint="eastAsia"/>
        </w:rPr>
        <w:t>智能楼宇学院是广州市唯康通信技术有限公司的技术教育部门，是专业化的综合布线技术培训机构将不定期对其所属办事处及代理商的工程设计、施工人员进行集中培训和认证考核。同时</w:t>
      </w:r>
      <w:r>
        <w:t>VCOM</w:t>
      </w:r>
      <w:r>
        <w:rPr>
          <w:rFonts w:hint="eastAsia"/>
        </w:rPr>
        <w:t>智能楼宇学院还承担人力资源和社会保障部、工业和信息化部关于综合布线国家职业资格考证的培训任务，为智能楼宇、综合布线行业培养设计、施工、管理等各方面的技术应用型人才，为企业提供合格技术人才，推动行业与产业健康发展。通过</w:t>
      </w:r>
      <w:r>
        <w:t>VCOM</w:t>
      </w:r>
      <w:r>
        <w:rPr>
          <w:rFonts w:hint="eastAsia"/>
        </w:rPr>
        <w:t>布线系统认证的工程师才能够为广大客户提供最优的布线方案、最好的施工质量、最佳的售后服务。同时由唯康通信技术有限公司认证工程师实施的唯康布线系统，才能获得广州市唯康通信技术有限公司提供二十年的产品质量应用保证。</w:t>
      </w:r>
      <w:bookmarkEnd w:id="16"/>
      <w:bookmarkEnd w:id="17"/>
    </w:p>
    <w:p>
      <w:pPr>
        <w:rPr>
          <w:rFonts w:cs="Times New Roman"/>
        </w:rPr>
      </w:pPr>
    </w:p>
    <w:p>
      <w:pPr>
        <w:rPr>
          <w:rFonts w:cs="Times New Roman"/>
        </w:rPr>
      </w:pPr>
    </w:p>
    <w:p>
      <w:pPr>
        <w:ind w:firstLine="482"/>
        <w:rPr>
          <w:rFonts w:cs="Times New Roman"/>
          <w:b/>
          <w:bCs/>
          <w:kern w:val="0"/>
        </w:rPr>
      </w:pPr>
      <w:r>
        <w:rPr>
          <w:rFonts w:hint="eastAsia"/>
          <w:b/>
          <w:bCs/>
          <w:kern w:val="0"/>
        </w:rPr>
        <w:t>国家职业资格证书发证单位：人力资源和社会保障部、工业和信息化部。</w:t>
      </w:r>
    </w:p>
    <w:p>
      <w:pPr>
        <w:rPr>
          <w:rFonts w:cs="Times New Roman"/>
        </w:rPr>
      </w:pPr>
      <w:r>
        <w:rPr>
          <w:rFonts w:ascii="宋体" w:hAnsi="宋体" w:eastAsia="宋体" w:cs="宋体"/>
          <w:kern w:val="2"/>
          <w:sz w:val="24"/>
          <w:szCs w:val="24"/>
          <w:lang w:val="en-US" w:eastAsia="zh-CN" w:bidi="ar-SA"/>
        </w:rPr>
        <w:drawing>
          <wp:anchor distT="0" distB="0" distL="114300" distR="114300" simplePos="0" relativeHeight="251675648" behindDoc="0" locked="0" layoutInCell="1" allowOverlap="1">
            <wp:simplePos x="0" y="0"/>
            <wp:positionH relativeFrom="column">
              <wp:posOffset>-172720</wp:posOffset>
            </wp:positionH>
            <wp:positionV relativeFrom="paragraph">
              <wp:posOffset>212725</wp:posOffset>
            </wp:positionV>
            <wp:extent cx="5932805" cy="1728470"/>
            <wp:effectExtent l="0" t="0" r="10795" b="5080"/>
            <wp:wrapSquare wrapText="bothSides"/>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10">
                      <a:lum/>
                    </a:blip>
                    <a:srcRect/>
                    <a:stretch>
                      <a:fillRect/>
                    </a:stretch>
                  </pic:blipFill>
                  <pic:spPr>
                    <a:xfrm>
                      <a:off x="0" y="0"/>
                      <a:ext cx="5932805" cy="1728470"/>
                    </a:xfrm>
                    <a:prstGeom prst="rect">
                      <a:avLst/>
                    </a:prstGeom>
                    <a:noFill/>
                    <a:ln w="9525">
                      <a:noFill/>
                      <a:miter/>
                    </a:ln>
                  </pic:spPr>
                </pic:pic>
              </a:graphicData>
            </a:graphic>
          </wp:anchor>
        </w:drawing>
      </w:r>
    </w:p>
    <w:p>
      <w:pPr>
        <w:rPr>
          <w:rFonts w:cs="Times New Roman"/>
        </w:rPr>
      </w:pPr>
    </w:p>
    <w:p>
      <w:pPr>
        <w:rPr>
          <w:rFonts w:cs="Times New Roman"/>
        </w:rPr>
      </w:pPr>
    </w:p>
    <w:p>
      <w:pPr>
        <w:pStyle w:val="2"/>
        <w:rPr>
          <w:rFonts w:cs="Times New Roman"/>
        </w:rPr>
      </w:pPr>
      <w:bookmarkStart w:id="50" w:name="_Toc296880473"/>
      <w:bookmarkStart w:id="51" w:name="_Toc279758050"/>
      <w:bookmarkStart w:id="52" w:name="_Toc279683661"/>
      <w:bookmarkStart w:id="53" w:name="_Toc279683463"/>
      <w:bookmarkStart w:id="54" w:name="_Toc279680195"/>
      <w:bookmarkStart w:id="55" w:name="_Toc19561"/>
      <w:r>
        <w:rPr>
          <w:rFonts w:hint="eastAsia"/>
        </w:rPr>
        <w:t>第</w:t>
      </w:r>
      <w:r>
        <w:rPr>
          <w:rFonts w:hint="eastAsia"/>
          <w:lang w:eastAsia="zh-CN"/>
        </w:rPr>
        <w:t>三</w:t>
      </w:r>
      <w:r>
        <w:rPr>
          <w:rFonts w:hint="eastAsia"/>
        </w:rPr>
        <w:t>章</w:t>
      </w:r>
      <w:r>
        <w:t xml:space="preserve">  </w:t>
      </w:r>
      <w:r>
        <w:rPr>
          <w:rFonts w:hint="eastAsia"/>
        </w:rPr>
        <w:t>综合布线系统设计</w:t>
      </w:r>
      <w:bookmarkEnd w:id="50"/>
      <w:bookmarkEnd w:id="51"/>
      <w:bookmarkEnd w:id="52"/>
      <w:bookmarkEnd w:id="53"/>
      <w:bookmarkEnd w:id="54"/>
      <w:bookmarkEnd w:id="55"/>
    </w:p>
    <w:p>
      <w:pPr>
        <w:pStyle w:val="3"/>
        <w:numPr>
          <w:ilvl w:val="0"/>
          <w:numId w:val="0"/>
        </w:numPr>
        <w:ind w:leftChars="0"/>
        <w:rPr>
          <w:rFonts w:ascii="Tahoma" w:hAnsi="Tahoma" w:cs="Tahoma"/>
          <w:color w:val="0000FF"/>
          <w:sz w:val="24"/>
          <w:szCs w:val="24"/>
        </w:rPr>
      </w:pPr>
      <w:bookmarkStart w:id="56" w:name="_Toc279683464"/>
      <w:bookmarkStart w:id="57" w:name="_Toc279683662"/>
      <w:bookmarkStart w:id="58" w:name="_Toc279758051"/>
      <w:bookmarkStart w:id="59" w:name="_Toc16333"/>
      <w:r>
        <w:rPr>
          <w:rFonts w:hint="eastAsia" w:ascii="Tahoma" w:hAnsi="Tahoma" w:cs="Tahoma"/>
          <w:color w:val="0000FF"/>
          <w:sz w:val="24"/>
          <w:szCs w:val="24"/>
          <w:lang w:val="en-US" w:eastAsia="zh-CN"/>
        </w:rPr>
        <w:t>3.1</w:t>
      </w:r>
      <w:r>
        <w:rPr>
          <w:rFonts w:ascii="Tahoma" w:hAnsi="Tahoma" w:cs="Tahoma"/>
          <w:color w:val="0000FF"/>
          <w:sz w:val="24"/>
          <w:szCs w:val="24"/>
        </w:rPr>
        <w:t xml:space="preserve">  </w:t>
      </w:r>
      <w:bookmarkStart w:id="60" w:name="_Toc296880474"/>
      <w:r>
        <w:rPr>
          <w:rFonts w:hint="eastAsia" w:ascii="Tahoma" w:hAnsi="Tahoma" w:cs="宋体"/>
          <w:color w:val="0000FF"/>
          <w:sz w:val="24"/>
          <w:szCs w:val="24"/>
        </w:rPr>
        <w:t>项目概况</w:t>
      </w:r>
      <w:bookmarkEnd w:id="56"/>
      <w:bookmarkEnd w:id="57"/>
      <w:bookmarkEnd w:id="58"/>
      <w:bookmarkEnd w:id="59"/>
      <w:bookmarkEnd w:id="60"/>
    </w:p>
    <w:p>
      <w:pPr>
        <w:spacing w:line="360" w:lineRule="auto"/>
        <w:ind w:left="108" w:leftChars="45" w:firstLine="480" w:firstLineChars="200"/>
        <w:rPr>
          <w:rFonts w:ascii="Tahoma" w:hAnsi="Tahoma" w:cs="Tahoma"/>
          <w:lang w:eastAsia="zh-TW"/>
        </w:rPr>
      </w:pPr>
      <w:r>
        <w:rPr>
          <w:rFonts w:hint="eastAsia" w:ascii="Tahoma" w:hAnsi="Tahoma"/>
        </w:rPr>
        <w:t>本次方案涉及的是</w:t>
      </w:r>
      <w:r>
        <w:rPr>
          <w:rFonts w:ascii="Tahoma" w:hAnsi="Tahoma" w:cs="Tahoma"/>
          <w:color w:val="FF6600"/>
        </w:rPr>
        <w:t>************</w:t>
      </w:r>
      <w:r>
        <w:rPr>
          <w:rFonts w:hint="eastAsia" w:ascii="Tahoma" w:hAnsi="Tahoma"/>
          <w:color w:val="FF0000"/>
        </w:rPr>
        <w:t>办公大楼的</w:t>
      </w:r>
      <w:r>
        <w:rPr>
          <w:rFonts w:hint="eastAsia" w:ascii="Tahoma" w:hAnsi="Tahoma"/>
        </w:rPr>
        <w:t>单体建筑或联体建筑，地上</w:t>
      </w:r>
      <w:r>
        <w:rPr>
          <w:rFonts w:ascii="Tahoma" w:hAnsi="Tahoma" w:cs="Tahoma"/>
          <w:color w:val="FF6600"/>
        </w:rPr>
        <w:t>**</w:t>
      </w:r>
      <w:r>
        <w:rPr>
          <w:rFonts w:hint="eastAsia" w:ascii="Tahoma" w:hAnsi="Tahoma"/>
        </w:rPr>
        <w:t>层，地下</w:t>
      </w:r>
      <w:r>
        <w:rPr>
          <w:rFonts w:ascii="Tahoma" w:hAnsi="Tahoma" w:cs="Tahoma"/>
          <w:color w:val="FF6600"/>
        </w:rPr>
        <w:t>**</w:t>
      </w:r>
      <w:r>
        <w:rPr>
          <w:rFonts w:hint="eastAsia" w:ascii="Tahoma" w:hAnsi="Tahoma"/>
        </w:rPr>
        <w:t>层。</w:t>
      </w:r>
    </w:p>
    <w:p>
      <w:pPr>
        <w:pStyle w:val="3"/>
        <w:numPr>
          <w:ilvl w:val="0"/>
          <w:numId w:val="0"/>
        </w:numPr>
        <w:ind w:leftChars="0"/>
        <w:rPr>
          <w:rFonts w:ascii="Tahoma" w:hAnsi="Tahoma" w:cs="Tahoma"/>
          <w:color w:val="0000FF"/>
          <w:sz w:val="24"/>
          <w:szCs w:val="24"/>
        </w:rPr>
      </w:pPr>
      <w:bookmarkStart w:id="61" w:name="_Toc279680196"/>
      <w:bookmarkStart w:id="62" w:name="_Toc279683465"/>
      <w:bookmarkStart w:id="63" w:name="_Toc279683663"/>
      <w:bookmarkStart w:id="64" w:name="_Toc279758052"/>
      <w:bookmarkStart w:id="65" w:name="_Toc4795"/>
      <w:r>
        <w:rPr>
          <w:rFonts w:hint="eastAsia" w:ascii="Tahoma" w:hAnsi="Tahoma" w:cs="Tahoma"/>
          <w:color w:val="0000FF"/>
          <w:sz w:val="24"/>
          <w:szCs w:val="24"/>
          <w:lang w:val="en-US" w:eastAsia="zh-CN"/>
        </w:rPr>
        <w:t>3.2</w:t>
      </w:r>
      <w:r>
        <w:rPr>
          <w:rFonts w:ascii="Tahoma" w:hAnsi="Tahoma" w:cs="Tahoma"/>
          <w:color w:val="0000FF"/>
          <w:sz w:val="24"/>
          <w:szCs w:val="24"/>
        </w:rPr>
        <w:t xml:space="preserve"> </w:t>
      </w:r>
      <w:bookmarkStart w:id="66" w:name="_Toc296880475"/>
      <w:r>
        <w:rPr>
          <w:rFonts w:hint="eastAsia" w:ascii="Tahoma" w:hAnsi="Tahoma" w:cs="宋体"/>
          <w:color w:val="0000FF"/>
          <w:sz w:val="24"/>
          <w:szCs w:val="24"/>
        </w:rPr>
        <w:t>用户需求</w:t>
      </w:r>
      <w:bookmarkEnd w:id="61"/>
      <w:bookmarkEnd w:id="62"/>
      <w:bookmarkEnd w:id="63"/>
      <w:bookmarkEnd w:id="64"/>
      <w:bookmarkEnd w:id="65"/>
      <w:bookmarkEnd w:id="66"/>
    </w:p>
    <w:p>
      <w:pPr>
        <w:pStyle w:val="23"/>
        <w:shd w:val="clear" w:color="auto" w:fill="FFFFFF"/>
        <w:spacing w:beforeLines="50" w:beforeAutospacing="0" w:afterLines="50" w:afterAutospacing="0" w:line="360" w:lineRule="auto"/>
        <w:ind w:firstLine="570"/>
        <w:rPr>
          <w:rFonts w:ascii="Tahoma" w:hAnsi="Tahoma" w:cs="Tahoma"/>
        </w:rPr>
      </w:pPr>
      <w:r>
        <w:rPr>
          <w:rFonts w:hint="eastAsia" w:ascii="Tahoma" w:hAnsi="Tahoma"/>
        </w:rPr>
        <w:t>主要针对</w:t>
      </w:r>
      <w:r>
        <w:rPr>
          <w:rFonts w:ascii="Tahoma" w:hAnsi="Tahoma" w:cs="Tahoma"/>
          <w:color w:val="FF6600"/>
        </w:rPr>
        <w:t>*****************</w:t>
      </w:r>
      <w:r>
        <w:rPr>
          <w:rFonts w:hint="eastAsia" w:ascii="Tahoma" w:hAnsi="Tahoma"/>
        </w:rPr>
        <w:t>进行整体信息化、网络化、智能化建设的设计，唯康综合布线为办公大楼提供了全链路的超五类布线系统解决方案。统一管道，统一介质的电缆进行配管、配线，以使该布线系统能够方便地与终端设备进行连接，组建电话、计算机、会议电视、监视电视等网络。该楼的综合布线的设计目标，是要建立一个满足智能大厦系统集成、网络集成，同时具有先进技术水准的综合计算机网络系统，系统在适用性、灵活性、模块化、扩充性等各项功能指针上完全满足今后发展需求，从而将该综合楼提升到个性化、智慧化的崭新高度，打造成为一个智慧大厦。</w:t>
      </w:r>
    </w:p>
    <w:p>
      <w:pPr>
        <w:pStyle w:val="3"/>
        <w:numPr>
          <w:ilvl w:val="0"/>
          <w:numId w:val="0"/>
        </w:numPr>
        <w:ind w:leftChars="0"/>
        <w:rPr>
          <w:rFonts w:ascii="Tahoma" w:hAnsi="Tahoma" w:cs="Tahoma"/>
          <w:color w:val="0000FF"/>
          <w:sz w:val="24"/>
          <w:szCs w:val="24"/>
        </w:rPr>
      </w:pPr>
      <w:bookmarkStart w:id="67" w:name="_Toc279680197"/>
      <w:bookmarkStart w:id="68" w:name="_Toc279683466"/>
      <w:bookmarkStart w:id="69" w:name="_Toc279683664"/>
      <w:bookmarkStart w:id="70" w:name="_Toc279758053"/>
      <w:bookmarkStart w:id="71" w:name="_Toc13332"/>
      <w:r>
        <w:rPr>
          <w:rFonts w:hint="eastAsia" w:ascii="Tahoma" w:hAnsi="Tahoma" w:cs="Tahoma"/>
          <w:color w:val="0000FF"/>
          <w:sz w:val="24"/>
          <w:szCs w:val="24"/>
          <w:lang w:val="en-US" w:eastAsia="zh-CN"/>
        </w:rPr>
        <w:t>3.3</w:t>
      </w:r>
      <w:r>
        <w:rPr>
          <w:rFonts w:ascii="Tahoma" w:hAnsi="Tahoma" w:cs="Tahoma"/>
          <w:color w:val="0000FF"/>
          <w:sz w:val="24"/>
          <w:szCs w:val="24"/>
        </w:rPr>
        <w:t xml:space="preserve">  </w:t>
      </w:r>
      <w:bookmarkStart w:id="72" w:name="_Toc296880476"/>
      <w:r>
        <w:rPr>
          <w:rFonts w:hint="eastAsia" w:ascii="Tahoma" w:hAnsi="Tahoma" w:cs="宋体"/>
          <w:color w:val="0000FF"/>
          <w:sz w:val="24"/>
          <w:szCs w:val="24"/>
        </w:rPr>
        <w:t>总体设计</w:t>
      </w:r>
      <w:bookmarkEnd w:id="67"/>
      <w:bookmarkEnd w:id="68"/>
      <w:bookmarkEnd w:id="69"/>
      <w:bookmarkEnd w:id="70"/>
      <w:bookmarkEnd w:id="71"/>
      <w:bookmarkEnd w:id="72"/>
    </w:p>
    <w:p>
      <w:pPr>
        <w:pStyle w:val="23"/>
        <w:shd w:val="clear" w:color="auto" w:fill="FFFFFF"/>
        <w:spacing w:beforeLines="50" w:beforeAutospacing="0" w:afterLines="50" w:afterAutospacing="0" w:line="360" w:lineRule="auto"/>
        <w:rPr>
          <w:rFonts w:ascii="Tahoma" w:hAnsi="Tahoma" w:cs="Tahoma"/>
        </w:rPr>
      </w:pPr>
      <w:r>
        <w:rPr>
          <w:rFonts w:hint="eastAsia" w:ascii="Tahoma" w:hAnsi="Tahoma"/>
        </w:rPr>
        <w:t>　　本设计方案依据用户需求及分析，在满足布线系统先进性、灵活性、经济性的工程要求下，布线系统按下列方式：</w:t>
      </w:r>
    </w:p>
    <w:p>
      <w:pPr>
        <w:pStyle w:val="23"/>
        <w:shd w:val="clear" w:color="auto" w:fill="FFFFFF"/>
        <w:spacing w:beforeLines="50" w:beforeAutospacing="0" w:afterLines="50" w:afterAutospacing="0" w:line="480" w:lineRule="auto"/>
        <w:rPr>
          <w:rFonts w:ascii="Tahoma" w:hAnsi="Tahoma" w:cs="Tahoma"/>
          <w:b/>
          <w:bCs/>
        </w:rPr>
      </w:pPr>
      <w:r>
        <w:rPr>
          <w:rFonts w:ascii="Tahoma" w:hAnsi="Tahoma" w:cs="Tahoma"/>
        </w:rPr>
        <w:t>(1) </w:t>
      </w:r>
      <w:r>
        <w:rPr>
          <w:rFonts w:hint="eastAsia" w:ascii="Tahoma" w:hAnsi="Tahoma"/>
          <w:b/>
          <w:bCs/>
        </w:rPr>
        <w:t>该方案整体采用超五类非屏蔽系统</w:t>
      </w:r>
      <w:r>
        <w:rPr>
          <w:rFonts w:ascii="Tahoma" w:hAnsi="Tahoma" w:cs="Tahoma"/>
          <w:b/>
          <w:bCs/>
        </w:rPr>
        <w:t>+</w:t>
      </w:r>
      <w:r>
        <w:rPr>
          <w:rFonts w:hint="eastAsia" w:ascii="Tahoma" w:hAnsi="Tahoma" w:cs="Tahoma"/>
          <w:b/>
          <w:bCs/>
        </w:rPr>
        <w:t>单、</w:t>
      </w:r>
      <w:r>
        <w:rPr>
          <w:rFonts w:hint="eastAsia" w:ascii="Tahoma" w:hAnsi="Tahoma"/>
          <w:b/>
          <w:bCs/>
        </w:rPr>
        <w:t>多模光缆相结合。</w:t>
      </w:r>
    </w:p>
    <w:p>
      <w:pPr>
        <w:pStyle w:val="23"/>
        <w:shd w:val="clear" w:color="auto" w:fill="FFFFFF"/>
        <w:spacing w:beforeLines="50" w:beforeAutospacing="0" w:afterLines="50" w:afterAutospacing="0" w:line="480" w:lineRule="auto"/>
        <w:rPr>
          <w:rFonts w:ascii="Tahoma" w:hAnsi="Tahoma" w:cs="Tahoma"/>
        </w:rPr>
      </w:pPr>
      <w:r>
        <w:rPr>
          <w:rFonts w:ascii="Tahoma" w:hAnsi="Tahoma" w:cs="Tahoma"/>
        </w:rPr>
        <w:t xml:space="preserve">(2) </w:t>
      </w:r>
      <w:r>
        <w:rPr>
          <w:rFonts w:hint="eastAsia" w:ascii="Tahoma" w:hAnsi="Tahoma"/>
        </w:rPr>
        <w:t>该楼共有信息点约</w:t>
      </w:r>
      <w:r>
        <w:rPr>
          <w:rFonts w:ascii="Tahoma" w:hAnsi="Tahoma" w:cs="Tahoma"/>
          <w:color w:val="FF6600"/>
        </w:rPr>
        <w:t>*****</w:t>
      </w:r>
      <w:r>
        <w:rPr>
          <w:rFonts w:hint="eastAsia" w:ascii="Tahoma" w:hAnsi="Tahoma"/>
        </w:rPr>
        <w:t>个，信息点分布为：语音点</w:t>
      </w:r>
      <w:r>
        <w:rPr>
          <w:rFonts w:ascii="Tahoma" w:hAnsi="Tahoma" w:cs="Tahoma"/>
          <w:color w:val="FF6600"/>
        </w:rPr>
        <w:t>****</w:t>
      </w:r>
      <w:r>
        <w:rPr>
          <w:rFonts w:hint="eastAsia" w:ascii="Tahoma" w:hAnsi="Tahoma"/>
        </w:rPr>
        <w:t>个；数据点</w:t>
      </w:r>
      <w:r>
        <w:rPr>
          <w:rFonts w:ascii="Tahoma" w:hAnsi="Tahoma" w:cs="Tahoma"/>
          <w:color w:val="FF6600"/>
        </w:rPr>
        <w:t>*****</w:t>
      </w:r>
      <w:r>
        <w:rPr>
          <w:rFonts w:hint="eastAsia" w:ascii="Tahoma" w:hAnsi="Tahoma"/>
        </w:rPr>
        <w:t>个；</w:t>
      </w:r>
    </w:p>
    <w:p>
      <w:pPr>
        <w:pStyle w:val="23"/>
        <w:shd w:val="clear" w:color="auto" w:fill="FFFFFF"/>
        <w:spacing w:beforeLines="50" w:beforeAutospacing="0" w:afterLines="50" w:afterAutospacing="0" w:line="480" w:lineRule="auto"/>
        <w:ind w:leftChars="-25" w:hanging="60" w:hangingChars="25"/>
        <w:rPr>
          <w:rFonts w:ascii="Tahoma" w:hAnsi="Tahoma" w:cs="Tahoma"/>
        </w:rPr>
      </w:pPr>
      <w:r>
        <w:rPr>
          <w:rFonts w:ascii="Tahoma" w:hAnsi="Tahoma" w:cs="Tahoma"/>
        </w:rPr>
        <w:t xml:space="preserve"> (3) </w:t>
      </w:r>
      <w:r>
        <w:rPr>
          <w:rFonts w:hint="eastAsia" w:ascii="Tahoma" w:hAnsi="Tahoma"/>
        </w:rPr>
        <w:t>采用</w:t>
      </w:r>
      <w:r>
        <w:rPr>
          <w:rFonts w:ascii="Tahoma" w:hAnsi="Tahoma" w:cs="Tahoma"/>
          <w:color w:val="FF6600"/>
        </w:rPr>
        <w:t>***</w:t>
      </w:r>
      <w:r>
        <w:rPr>
          <w:rFonts w:hint="eastAsia" w:ascii="Tahoma" w:hAnsi="Tahoma"/>
        </w:rPr>
        <w:t>类</w:t>
      </w:r>
      <w:r>
        <w:rPr>
          <w:rFonts w:ascii="Tahoma" w:hAnsi="Tahoma" w:cs="Tahoma"/>
          <w:color w:val="FF6600"/>
        </w:rPr>
        <w:t>***</w:t>
      </w:r>
      <w:r>
        <w:rPr>
          <w:rFonts w:hint="eastAsia" w:ascii="Tahoma" w:hAnsi="Tahoma"/>
        </w:rPr>
        <w:t>对大对数电缆、室内</w:t>
      </w:r>
      <w:r>
        <w:rPr>
          <w:rFonts w:ascii="Tahoma" w:hAnsi="Tahoma" w:cs="Tahoma"/>
          <w:color w:val="FF6600"/>
        </w:rPr>
        <w:t>*</w:t>
      </w:r>
      <w:r>
        <w:rPr>
          <w:rFonts w:hint="eastAsia" w:ascii="Tahoma" w:hAnsi="Tahoma"/>
        </w:rPr>
        <w:t>芯多模光缆连接每栋大楼的各层管理子系统的配线架。</w:t>
      </w:r>
    </w:p>
    <w:p>
      <w:pPr>
        <w:pStyle w:val="23"/>
        <w:shd w:val="clear" w:color="auto" w:fill="FFFFFF"/>
        <w:spacing w:beforeLines="50" w:beforeAutospacing="0" w:afterLines="50" w:afterAutospacing="0" w:line="480" w:lineRule="auto"/>
        <w:ind w:leftChars="-25" w:hanging="60" w:hangingChars="25"/>
        <w:rPr>
          <w:rFonts w:ascii="Tahoma" w:hAnsi="Tahoma" w:cs="Tahoma"/>
        </w:rPr>
      </w:pPr>
      <w:r>
        <w:rPr>
          <w:rFonts w:ascii="Tahoma" w:hAnsi="Tahoma" w:cs="Tahoma"/>
        </w:rPr>
        <w:t>(4) </w:t>
      </w:r>
      <w:r>
        <w:rPr>
          <w:rFonts w:hint="eastAsia" w:ascii="Tahoma" w:hAnsi="Tahoma"/>
        </w:rPr>
        <w:t>采用</w:t>
      </w:r>
      <w:r>
        <w:rPr>
          <w:rFonts w:hint="eastAsia" w:ascii="Tahoma" w:hAnsi="Tahoma"/>
          <w:b/>
        </w:rPr>
        <w:t>超五类布线系统</w:t>
      </w:r>
      <w:r>
        <w:rPr>
          <w:rFonts w:hint="eastAsia" w:ascii="Tahoma" w:hAnsi="Tahoma"/>
        </w:rPr>
        <w:t>标准的四对非屏蔽双绞线（</w:t>
      </w:r>
      <w:r>
        <w:rPr>
          <w:rFonts w:ascii="Tahoma" w:hAnsi="Tahoma" w:cs="Tahoma"/>
        </w:rPr>
        <w:t>UTP</w:t>
      </w:r>
      <w:r>
        <w:rPr>
          <w:rFonts w:hint="eastAsia" w:ascii="Tahoma" w:hAnsi="Tahoma"/>
        </w:rPr>
        <w:t>）作为水平干线子系统的布线连接到各功能区的信息点。</w:t>
      </w:r>
    </w:p>
    <w:p>
      <w:pPr>
        <w:pStyle w:val="23"/>
        <w:shd w:val="clear" w:color="auto" w:fill="FFFFFF"/>
        <w:spacing w:beforeLines="50" w:beforeAutospacing="0" w:afterLines="50" w:afterAutospacing="0" w:line="480" w:lineRule="auto"/>
        <w:rPr>
          <w:rFonts w:ascii="Tahoma" w:hAnsi="Tahoma" w:cs="Tahoma"/>
        </w:rPr>
      </w:pPr>
      <w:r>
        <w:rPr>
          <w:rFonts w:ascii="Tahoma" w:hAnsi="Tahoma" w:cs="Tahoma"/>
        </w:rPr>
        <w:t>(5) </w:t>
      </w:r>
      <w:r>
        <w:rPr>
          <w:rFonts w:hint="eastAsia" w:ascii="Tahoma" w:hAnsi="Tahoma"/>
        </w:rPr>
        <w:t>采用超五类标准的结构化、模块化部件的各种配线架组成各楼层、各区域的配线架。</w:t>
      </w:r>
      <w:r>
        <w:rPr>
          <w:rFonts w:ascii="Tahoma" w:hAnsi="Tahoma" w:cs="Tahoma"/>
        </w:rPr>
        <w:br w:type="textWrapping"/>
      </w:r>
      <w:r>
        <w:rPr>
          <w:rFonts w:ascii="Tahoma" w:hAnsi="Tahoma" w:cs="Tahoma"/>
        </w:rPr>
        <w:t>(6) </w:t>
      </w:r>
      <w:r>
        <w:rPr>
          <w:rFonts w:hint="eastAsia" w:ascii="Tahoma" w:hAnsi="Tahoma"/>
        </w:rPr>
        <w:t>各信息点采用超五类信息模块并配置相应的单口、双口面板、地脚插座等。</w:t>
      </w:r>
    </w:p>
    <w:p>
      <w:pPr>
        <w:pStyle w:val="23"/>
        <w:shd w:val="clear" w:color="auto" w:fill="FFFFFF"/>
        <w:spacing w:beforeLines="50" w:beforeAutospacing="0" w:afterLines="50" w:afterAutospacing="0" w:line="480" w:lineRule="auto"/>
        <w:rPr>
          <w:rFonts w:ascii="Tahoma" w:hAnsi="Tahoma" w:cs="Tahoma"/>
        </w:rPr>
      </w:pPr>
      <w:r>
        <w:rPr>
          <w:rFonts w:ascii="Tahoma" w:hAnsi="Tahoma" w:cs="Tahoma"/>
        </w:rPr>
        <w:t>(7) </w:t>
      </w:r>
      <w:r>
        <w:rPr>
          <w:rFonts w:hint="eastAsia" w:ascii="Tahoma" w:hAnsi="Tahoma"/>
        </w:rPr>
        <w:t>管理间与设备间设置的位置。</w:t>
      </w:r>
    </w:p>
    <w:p>
      <w:pPr>
        <w:pStyle w:val="23"/>
        <w:shd w:val="clear" w:color="auto" w:fill="FFFFFF"/>
        <w:spacing w:beforeLines="50" w:beforeAutospacing="0" w:afterLines="50" w:afterAutospacing="0" w:line="480" w:lineRule="auto"/>
        <w:rPr>
          <w:rFonts w:ascii="Tahoma" w:hAnsi="Tahoma" w:cs="Tahoma"/>
        </w:rPr>
      </w:pPr>
      <w:r>
        <w:rPr>
          <w:rFonts w:ascii="Tahoma" w:hAnsi="Tahoma" w:cs="Tahoma"/>
        </w:rPr>
        <w:t>(8) </w:t>
      </w:r>
      <w:r>
        <w:rPr>
          <w:rFonts w:hint="eastAsia" w:ascii="Tahoma" w:hAnsi="Tahoma"/>
        </w:rPr>
        <w:t>在每栋楼的进线间配置信号线路浪涌保护器，以满足新国标</w:t>
      </w:r>
      <w:r>
        <w:rPr>
          <w:rFonts w:ascii="Tahoma" w:hAnsi="Tahoma" w:cs="Tahoma"/>
        </w:rPr>
        <w:t>GB50311</w:t>
      </w:r>
      <w:r>
        <w:rPr>
          <w:rFonts w:hint="eastAsia" w:ascii="Tahoma" w:hAnsi="Tahoma"/>
        </w:rPr>
        <w:t>、</w:t>
      </w:r>
      <w:r>
        <w:rPr>
          <w:rFonts w:ascii="Tahoma" w:hAnsi="Tahoma" w:cs="Tahoma"/>
        </w:rPr>
        <w:t>GB50312</w:t>
      </w:r>
      <w:r>
        <w:rPr>
          <w:rFonts w:hint="eastAsia" w:ascii="Tahoma" w:hAnsi="Tahoma"/>
        </w:rPr>
        <w:t>的强制性条文要求（当电缆从建筑物外面进入建筑物时，应选用适配的信号线路浪涌保护器，信号线路浪涌保护器应符合设计要求。</w:t>
      </w:r>
    </w:p>
    <w:p>
      <w:pPr>
        <w:pStyle w:val="23"/>
        <w:shd w:val="clear" w:color="auto" w:fill="FFFFFF"/>
        <w:spacing w:beforeLines="50" w:beforeAutospacing="0" w:afterLines="50" w:afterAutospacing="0" w:line="480" w:lineRule="auto"/>
        <w:rPr>
          <w:rFonts w:ascii="Tahoma" w:hAnsi="Tahoma" w:cs="Tahoma"/>
          <w:lang w:eastAsia="zh-TW"/>
        </w:rPr>
      </w:pPr>
      <w:r>
        <w:rPr>
          <w:rFonts w:ascii="Tahoma" w:hAnsi="Tahoma" w:cs="Tahoma"/>
        </w:rPr>
        <w:t>(9) </w:t>
      </w:r>
      <w:r>
        <w:rPr>
          <w:rFonts w:hint="eastAsia" w:ascii="Tahoma" w:hAnsi="Tahoma"/>
        </w:rPr>
        <w:t>综合布线系统的各子系统（包括：工作区子系统、水平子系统、管理子系统、设备间子系统、垂直干线系统、建筑群子系统和进线间）的设计均符合</w:t>
      </w:r>
      <w:r>
        <w:rPr>
          <w:rFonts w:ascii="Tahoma" w:hAnsi="Tahoma" w:cs="Tahoma"/>
        </w:rPr>
        <w:t xml:space="preserve">GB 50311-2007 </w:t>
      </w:r>
      <w:r>
        <w:rPr>
          <w:rFonts w:hint="eastAsia" w:ascii="Tahoma" w:hAnsi="Tahoma"/>
        </w:rPr>
        <w:t>《综合布线系统工程设计规范》中对各子系统的规定。</w:t>
      </w:r>
    </w:p>
    <w:p>
      <w:pPr>
        <w:pStyle w:val="23"/>
        <w:shd w:val="clear" w:color="auto" w:fill="FFFFFF"/>
        <w:spacing w:beforeLines="50" w:beforeAutospacing="0" w:afterLines="50" w:afterAutospacing="0" w:line="480" w:lineRule="auto"/>
        <w:rPr>
          <w:rFonts w:ascii="Tahoma" w:hAnsi="Tahoma" w:cs="Tahoma"/>
          <w:b/>
        </w:rPr>
      </w:pPr>
      <w:r>
        <w:rPr>
          <w:rFonts w:hint="eastAsia" w:ascii="Tahoma" w:hAnsi="Tahoma"/>
          <w:b/>
        </w:rPr>
        <w:t>具体来说，本方案提出的解决方案支持以下各类应用及其设备。</w:t>
      </w:r>
    </w:p>
    <w:p>
      <w:pPr>
        <w:pStyle w:val="23"/>
        <w:shd w:val="clear" w:color="auto" w:fill="FFFFFF"/>
        <w:spacing w:before="50" w:beforeAutospacing="0" w:after="50" w:afterAutospacing="0" w:line="360" w:lineRule="auto"/>
        <w:rPr>
          <w:rFonts w:cs="Times New Roman"/>
        </w:rPr>
      </w:pPr>
      <w:r>
        <w:rPr>
          <w:rStyle w:val="25"/>
          <w:rFonts w:ascii="Tahoma" w:hAnsi="Tahoma" w:cs="宋体"/>
        </w:rPr>
        <w:t>1</w:t>
      </w:r>
      <w:r>
        <w:rPr>
          <w:rStyle w:val="25"/>
          <w:rFonts w:hint="eastAsia" w:ascii="Tahoma" w:hAnsi="Tahoma" w:cs="宋体"/>
        </w:rPr>
        <w:t>、语音</w:t>
      </w:r>
    </w:p>
    <w:p>
      <w:pPr>
        <w:pStyle w:val="23"/>
        <w:numPr>
          <w:ilvl w:val="0"/>
          <w:numId w:val="3"/>
        </w:numPr>
        <w:shd w:val="clear" w:color="auto" w:fill="FFFFFF"/>
        <w:spacing w:before="50" w:beforeAutospacing="0" w:after="50" w:afterAutospacing="0" w:line="360" w:lineRule="auto"/>
        <w:rPr>
          <w:rFonts w:ascii="Tahoma" w:hAnsi="Tahoma" w:cs="Tahoma"/>
        </w:rPr>
      </w:pPr>
      <w:r>
        <w:rPr>
          <w:rFonts w:hint="eastAsia" w:ascii="Tahoma" w:hAnsi="Tahoma"/>
        </w:rPr>
        <w:t>程控交换机</w:t>
      </w:r>
    </w:p>
    <w:p>
      <w:pPr>
        <w:pStyle w:val="23"/>
        <w:numPr>
          <w:ilvl w:val="0"/>
          <w:numId w:val="3"/>
        </w:numPr>
        <w:shd w:val="clear" w:color="auto" w:fill="FFFFFF"/>
        <w:spacing w:before="50" w:beforeAutospacing="0" w:after="50" w:afterAutospacing="0" w:line="360" w:lineRule="auto"/>
        <w:rPr>
          <w:rFonts w:ascii="Tahoma" w:hAnsi="Tahoma"/>
        </w:rPr>
      </w:pPr>
      <w:r>
        <w:rPr>
          <w:rFonts w:hint="eastAsia" w:ascii="Tahoma" w:hAnsi="Tahoma"/>
        </w:rPr>
        <w:t>电话、传真</w:t>
      </w:r>
    </w:p>
    <w:p>
      <w:pPr>
        <w:pStyle w:val="23"/>
        <w:numPr>
          <w:ilvl w:val="0"/>
          <w:numId w:val="3"/>
        </w:numPr>
        <w:shd w:val="clear" w:color="auto" w:fill="FFFFFF"/>
        <w:spacing w:before="50" w:beforeAutospacing="0" w:after="50" w:afterAutospacing="0" w:line="360" w:lineRule="auto"/>
        <w:rPr>
          <w:rFonts w:ascii="Tahoma" w:hAnsi="Tahoma"/>
        </w:rPr>
      </w:pPr>
      <w:r>
        <w:rPr>
          <w:rFonts w:hint="eastAsia" w:ascii="Tahoma" w:hAnsi="Tahoma"/>
        </w:rPr>
        <w:t>电话会议</w:t>
      </w:r>
    </w:p>
    <w:p>
      <w:pPr>
        <w:pStyle w:val="23"/>
        <w:numPr>
          <w:ilvl w:val="0"/>
          <w:numId w:val="3"/>
        </w:numPr>
        <w:shd w:val="clear" w:color="auto" w:fill="FFFFFF"/>
        <w:spacing w:before="50" w:beforeAutospacing="0" w:after="50" w:afterAutospacing="0" w:line="360" w:lineRule="auto"/>
        <w:rPr>
          <w:rFonts w:ascii="Tahoma" w:hAnsi="Tahoma"/>
        </w:rPr>
      </w:pPr>
      <w:r>
        <w:rPr>
          <w:rFonts w:hint="eastAsia" w:ascii="Tahoma" w:hAnsi="Tahoma"/>
        </w:rPr>
        <w:t>语音信箱、语音存储信息</w:t>
      </w:r>
    </w:p>
    <w:p>
      <w:pPr>
        <w:pStyle w:val="23"/>
        <w:shd w:val="clear" w:color="auto" w:fill="FFFFFF"/>
        <w:spacing w:before="50" w:beforeAutospacing="0" w:after="50" w:afterAutospacing="0" w:line="360" w:lineRule="auto"/>
        <w:rPr>
          <w:rStyle w:val="25"/>
          <w:rFonts w:ascii="Tahoma" w:hAnsi="Tahoma" w:cs="Tahoma"/>
        </w:rPr>
      </w:pPr>
      <w:r>
        <w:rPr>
          <w:rStyle w:val="25"/>
          <w:rFonts w:ascii="Tahoma" w:hAnsi="Tahoma" w:cs="宋体"/>
        </w:rPr>
        <w:t>2</w:t>
      </w:r>
      <w:r>
        <w:rPr>
          <w:rStyle w:val="25"/>
          <w:rFonts w:hint="eastAsia" w:ascii="Tahoma" w:hAnsi="Tahoma" w:cs="宋体"/>
        </w:rPr>
        <w:t>、数据</w:t>
      </w:r>
    </w:p>
    <w:p>
      <w:pPr>
        <w:pStyle w:val="23"/>
        <w:numPr>
          <w:ilvl w:val="0"/>
          <w:numId w:val="3"/>
        </w:numPr>
        <w:shd w:val="clear" w:color="auto" w:fill="FFFFFF"/>
        <w:spacing w:before="50" w:beforeAutospacing="0" w:after="50" w:afterAutospacing="0" w:line="360" w:lineRule="auto"/>
        <w:rPr>
          <w:rFonts w:ascii="Tahoma" w:hAnsi="Tahoma"/>
        </w:rPr>
      </w:pPr>
      <w:r>
        <w:rPr>
          <w:rFonts w:hint="eastAsia" w:ascii="Tahoma" w:hAnsi="Tahoma"/>
        </w:rPr>
        <w:t>建立大楼内的局域网络、连接办公计算机，实现</w:t>
      </w:r>
      <w:r>
        <w:rPr>
          <w:rFonts w:ascii="Tahoma" w:hAnsi="Tahoma"/>
        </w:rPr>
        <w:t>OA</w:t>
      </w:r>
      <w:r>
        <w:rPr>
          <w:rFonts w:hint="eastAsia" w:ascii="Tahoma" w:hAnsi="Tahoma"/>
        </w:rPr>
        <w:t>（办公自动化）系统</w:t>
      </w:r>
    </w:p>
    <w:p>
      <w:pPr>
        <w:pStyle w:val="23"/>
        <w:numPr>
          <w:ilvl w:val="0"/>
          <w:numId w:val="3"/>
        </w:numPr>
        <w:shd w:val="clear" w:color="auto" w:fill="FFFFFF"/>
        <w:spacing w:before="50" w:beforeAutospacing="0" w:after="50" w:afterAutospacing="0" w:line="360" w:lineRule="auto"/>
        <w:rPr>
          <w:rFonts w:ascii="Tahoma" w:hAnsi="Tahoma"/>
        </w:rPr>
      </w:pPr>
      <w:r>
        <w:rPr>
          <w:rFonts w:hint="eastAsia" w:ascii="Tahoma" w:hAnsi="Tahoma"/>
        </w:rPr>
        <w:t>各楼层间局域网互联，高速以太网及</w:t>
      </w:r>
      <w:r>
        <w:rPr>
          <w:rFonts w:ascii="Tahoma" w:hAnsi="Tahoma"/>
        </w:rPr>
        <w:t>Internet</w:t>
      </w:r>
      <w:r>
        <w:rPr>
          <w:rFonts w:hint="eastAsia" w:ascii="Tahoma" w:hAnsi="Tahoma"/>
        </w:rPr>
        <w:t>连接</w:t>
      </w:r>
    </w:p>
    <w:p>
      <w:pPr>
        <w:pStyle w:val="23"/>
        <w:shd w:val="clear" w:color="auto" w:fill="FFFFFF"/>
        <w:spacing w:before="50" w:beforeAutospacing="0" w:after="50" w:afterAutospacing="0" w:line="360" w:lineRule="auto"/>
        <w:ind w:left="840"/>
        <w:rPr>
          <w:rFonts w:ascii="Tahoma" w:hAnsi="Tahoma"/>
        </w:rPr>
      </w:pPr>
    </w:p>
    <w:p>
      <w:pPr>
        <w:pStyle w:val="3"/>
        <w:numPr>
          <w:ilvl w:val="0"/>
          <w:numId w:val="0"/>
        </w:numPr>
        <w:ind w:leftChars="0"/>
        <w:rPr>
          <w:rFonts w:ascii="Tahoma" w:hAnsi="Tahoma" w:cs="Tahoma"/>
          <w:color w:val="0000FF"/>
          <w:sz w:val="24"/>
          <w:szCs w:val="24"/>
        </w:rPr>
      </w:pPr>
      <w:bookmarkStart w:id="73" w:name="_Toc279680198"/>
      <w:bookmarkStart w:id="74" w:name="_Toc279683467"/>
      <w:bookmarkStart w:id="75" w:name="_Toc279683665"/>
      <w:bookmarkStart w:id="76" w:name="_Toc279758054"/>
      <w:bookmarkStart w:id="77" w:name="_Toc23887"/>
      <w:r>
        <w:rPr>
          <w:rFonts w:hint="eastAsia" w:ascii="Tahoma" w:hAnsi="Tahoma" w:cs="Tahoma"/>
          <w:color w:val="0000FF"/>
          <w:sz w:val="24"/>
          <w:szCs w:val="24"/>
          <w:lang w:val="en-US" w:eastAsia="zh-CN"/>
        </w:rPr>
        <w:t>3.4</w:t>
      </w:r>
      <w:r>
        <w:rPr>
          <w:rFonts w:ascii="Tahoma" w:hAnsi="Tahoma" w:cs="Tahoma"/>
          <w:color w:val="0000FF"/>
          <w:sz w:val="24"/>
          <w:szCs w:val="24"/>
        </w:rPr>
        <w:t xml:space="preserve"> </w:t>
      </w:r>
      <w:bookmarkStart w:id="78" w:name="_Toc296880477"/>
      <w:r>
        <w:rPr>
          <w:rFonts w:hint="eastAsia" w:ascii="Tahoma" w:hAnsi="Tahoma" w:cs="宋体"/>
          <w:color w:val="0000FF"/>
          <w:sz w:val="24"/>
          <w:szCs w:val="24"/>
        </w:rPr>
        <w:t>工作区子系统</w:t>
      </w:r>
      <w:bookmarkEnd w:id="73"/>
      <w:bookmarkEnd w:id="74"/>
      <w:bookmarkEnd w:id="75"/>
      <w:bookmarkEnd w:id="76"/>
      <w:bookmarkEnd w:id="77"/>
      <w:bookmarkEnd w:id="78"/>
    </w:p>
    <w:p>
      <w:pPr>
        <w:spacing w:line="360" w:lineRule="auto"/>
        <w:ind w:firstLine="480" w:firstLineChars="200"/>
        <w:rPr>
          <w:rFonts w:cs="Times New Roman"/>
        </w:rPr>
      </w:pPr>
      <w:r>
        <w:rPr>
          <w:rFonts w:hint="eastAsia"/>
        </w:rPr>
        <w:t>工作区子系统指从水平系统电缆延伸至数据终端设备的连接线缆，和适配器及用户信息插座组成。是最终用户区域，信息插座需选用最新信息模块，能防尘、防潮，体积小、组合方便，每个接口用图标进行标记；防火性能和触点工艺符合国家标准。与插座模块组合使用的面板，其安装与拆卸简便易行；工作区的</w:t>
      </w:r>
      <w:r>
        <w:t>UTP/FTP</w:t>
      </w:r>
      <w:r>
        <w:rPr>
          <w:rFonts w:hint="eastAsia"/>
        </w:rPr>
        <w:t>跳线为软线（</w:t>
      </w:r>
      <w:r>
        <w:t>Patch Cable</w:t>
      </w:r>
      <w:r>
        <w:rPr>
          <w:rFonts w:hint="eastAsia"/>
        </w:rPr>
        <w:t>）材料，即双绞线的芯线为多股细铜丝，最大长度不应超过</w:t>
      </w:r>
      <w:r>
        <w:t>5M</w:t>
      </w:r>
      <w:r>
        <w:rPr>
          <w:rFonts w:hint="eastAsia"/>
        </w:rPr>
        <w:t>。</w:t>
      </w:r>
    </w:p>
    <w:p>
      <w:pPr>
        <w:spacing w:line="360" w:lineRule="auto"/>
        <w:ind w:firstLine="480" w:firstLineChars="200"/>
        <w:rPr>
          <w:rFonts w:cs="Times New Roman"/>
        </w:rPr>
      </w:pPr>
      <w:r>
        <w:rPr>
          <w:rFonts w:ascii="宋体" w:hAnsi="宋体" w:eastAsia="宋体" w:cs="宋体"/>
          <w:kern w:val="2"/>
          <w:sz w:val="24"/>
          <w:szCs w:val="24"/>
          <w:lang w:val="en-US" w:eastAsia="zh-CN" w:bidi="ar-SA"/>
        </w:rPr>
        <w:drawing>
          <wp:anchor distT="0" distB="0" distL="114300" distR="114300" simplePos="0" relativeHeight="251663360" behindDoc="0" locked="0" layoutInCell="1" allowOverlap="1">
            <wp:simplePos x="0" y="0"/>
            <wp:positionH relativeFrom="column">
              <wp:posOffset>1224280</wp:posOffset>
            </wp:positionH>
            <wp:positionV relativeFrom="paragraph">
              <wp:posOffset>175895</wp:posOffset>
            </wp:positionV>
            <wp:extent cx="3312795" cy="1687195"/>
            <wp:effectExtent l="0" t="0" r="1905" b="8255"/>
            <wp:wrapSquare wrapText="bothSides"/>
            <wp:docPr id="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1"/>
                    <pic:cNvPicPr>
                      <a:picLocks noChangeAspect="1"/>
                    </pic:cNvPicPr>
                  </pic:nvPicPr>
                  <pic:blipFill>
                    <a:blip r:embed="rId11">
                      <a:lum/>
                    </a:blip>
                    <a:srcRect/>
                    <a:stretch>
                      <a:fillRect/>
                    </a:stretch>
                  </pic:blipFill>
                  <pic:spPr>
                    <a:xfrm>
                      <a:off x="0" y="0"/>
                      <a:ext cx="3312795" cy="1687195"/>
                    </a:xfrm>
                    <a:prstGeom prst="rect">
                      <a:avLst/>
                    </a:prstGeom>
                    <a:noFill/>
                    <a:ln w="9525">
                      <a:noFill/>
                      <a:miter/>
                    </a:ln>
                  </pic:spPr>
                </pic:pic>
              </a:graphicData>
            </a:graphic>
          </wp:anchor>
        </w:drawing>
      </w:r>
    </w:p>
    <w:p>
      <w:pPr>
        <w:pStyle w:val="33"/>
        <w:tabs>
          <w:tab w:val="clear" w:pos="1140"/>
        </w:tabs>
        <w:ind w:left="0" w:firstLine="118" w:firstLineChars="49"/>
        <w:rPr>
          <w:rFonts w:cs="Times New Roman"/>
          <w:sz w:val="24"/>
          <w:szCs w:val="24"/>
        </w:rPr>
      </w:pPr>
    </w:p>
    <w:p>
      <w:pPr>
        <w:ind w:firstLine="480" w:firstLineChars="200"/>
        <w:jc w:val="left"/>
        <w:rPr>
          <w:rFonts w:cs="Times New Roman"/>
        </w:rPr>
      </w:pPr>
    </w:p>
    <w:p>
      <w:pPr>
        <w:ind w:firstLine="480" w:firstLineChars="200"/>
        <w:jc w:val="left"/>
        <w:rPr>
          <w:rFonts w:cs="Times New Roman"/>
        </w:rPr>
      </w:pPr>
    </w:p>
    <w:p>
      <w:pPr>
        <w:ind w:firstLine="480" w:firstLineChars="200"/>
        <w:jc w:val="left"/>
        <w:rPr>
          <w:rFonts w:cs="Times New Roman"/>
        </w:rPr>
      </w:pPr>
    </w:p>
    <w:p>
      <w:pPr>
        <w:jc w:val="left"/>
        <w:rPr>
          <w:rFonts w:cs="Times New Roman"/>
        </w:rPr>
      </w:pPr>
    </w:p>
    <w:p>
      <w:pPr>
        <w:spacing w:line="360" w:lineRule="auto"/>
        <w:ind w:firstLine="480" w:firstLineChars="200"/>
        <w:jc w:val="left"/>
        <w:rPr>
          <w:rFonts w:cs="Times New Roman"/>
        </w:rPr>
      </w:pPr>
      <w:bookmarkStart w:id="79" w:name="_Toc48444290"/>
    </w:p>
    <w:p>
      <w:pPr>
        <w:spacing w:line="360" w:lineRule="auto"/>
        <w:ind w:firstLine="480" w:firstLineChars="200"/>
        <w:jc w:val="left"/>
        <w:rPr>
          <w:rFonts w:cs="Times New Roman"/>
        </w:rPr>
      </w:pPr>
      <w:r>
        <w:rPr>
          <w:rFonts w:hint="eastAsia"/>
        </w:rPr>
        <w:t>根据图纸的实际情况并结合用户的需求进行布点，共计点数约为</w:t>
      </w:r>
      <w:r>
        <w:rPr>
          <w:color w:val="FF6600"/>
        </w:rPr>
        <w:t>*****</w:t>
      </w:r>
      <w:r>
        <w:rPr>
          <w:rFonts w:hint="eastAsia"/>
        </w:rPr>
        <w:t>个信息点。</w:t>
      </w:r>
    </w:p>
    <w:p>
      <w:pPr>
        <w:spacing w:line="360" w:lineRule="auto"/>
        <w:ind w:firstLine="482" w:firstLineChars="200"/>
        <w:jc w:val="left"/>
        <w:rPr>
          <w:rFonts w:cs="Times New Roman"/>
          <w:b/>
        </w:rPr>
      </w:pPr>
      <w:r>
        <w:rPr>
          <w:rFonts w:hint="eastAsia"/>
          <w:b/>
        </w:rPr>
        <w:t>信息点分布明细见下表：</w:t>
      </w:r>
    </w:p>
    <w:tbl>
      <w:tblPr>
        <w:tblStyle w:val="29"/>
        <w:tblW w:w="9216" w:type="dxa"/>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384"/>
        <w:gridCol w:w="1843"/>
        <w:gridCol w:w="2126"/>
        <w:gridCol w:w="2019"/>
        <w:gridCol w:w="1844"/>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406" w:hRule="atLeast"/>
        </w:trPr>
        <w:tc>
          <w:tcPr>
            <w:tcW w:w="1384" w:type="dxa"/>
            <w:tcBorders>
              <w:top w:val="double" w:color="auto" w:sz="4" w:space="0"/>
            </w:tcBorders>
            <w:shd w:val="clear" w:color="auto" w:fill="A6A6A6"/>
            <w:vAlign w:val="center"/>
          </w:tcPr>
          <w:p>
            <w:pPr>
              <w:spacing w:line="360" w:lineRule="auto"/>
              <w:jc w:val="center"/>
              <w:rPr>
                <w:rFonts w:ascii="仿宋体" w:eastAsia="仿宋体" w:cs="Times New Roman"/>
                <w:b/>
                <w:bCs/>
              </w:rPr>
            </w:pPr>
            <w:r>
              <w:rPr>
                <w:rFonts w:hint="eastAsia" w:ascii="仿宋体" w:eastAsia="仿宋体" w:cs="仿宋体"/>
                <w:b/>
                <w:bCs/>
              </w:rPr>
              <w:t>序号</w:t>
            </w:r>
          </w:p>
        </w:tc>
        <w:tc>
          <w:tcPr>
            <w:tcW w:w="1843" w:type="dxa"/>
            <w:tcBorders>
              <w:top w:val="double" w:color="auto" w:sz="4" w:space="0"/>
            </w:tcBorders>
            <w:shd w:val="clear" w:color="auto" w:fill="A6A6A6"/>
            <w:vAlign w:val="center"/>
          </w:tcPr>
          <w:p>
            <w:pPr>
              <w:spacing w:line="360" w:lineRule="auto"/>
              <w:jc w:val="center"/>
              <w:rPr>
                <w:rFonts w:ascii="仿宋体" w:eastAsia="仿宋体" w:cs="Times New Roman"/>
                <w:b/>
                <w:bCs/>
              </w:rPr>
            </w:pPr>
            <w:r>
              <w:rPr>
                <w:rFonts w:hint="eastAsia" w:ascii="仿宋体" w:eastAsia="仿宋体" w:cs="仿宋体"/>
                <w:b/>
                <w:bCs/>
              </w:rPr>
              <w:t>楼层</w:t>
            </w:r>
          </w:p>
        </w:tc>
        <w:tc>
          <w:tcPr>
            <w:tcW w:w="2126" w:type="dxa"/>
            <w:tcBorders>
              <w:top w:val="double" w:color="auto" w:sz="4" w:space="0"/>
            </w:tcBorders>
            <w:shd w:val="clear" w:color="auto" w:fill="A6A6A6"/>
            <w:vAlign w:val="center"/>
          </w:tcPr>
          <w:p>
            <w:pPr>
              <w:spacing w:line="360" w:lineRule="auto"/>
              <w:jc w:val="center"/>
              <w:rPr>
                <w:rFonts w:ascii="仿宋体" w:eastAsia="仿宋体" w:cs="Times New Roman"/>
                <w:b/>
                <w:bCs/>
              </w:rPr>
            </w:pPr>
            <w:r>
              <w:rPr>
                <w:rFonts w:hint="eastAsia" w:ascii="仿宋体" w:eastAsia="仿宋体" w:cs="仿宋体"/>
                <w:b/>
                <w:bCs/>
              </w:rPr>
              <w:t>语音信息点</w:t>
            </w:r>
          </w:p>
        </w:tc>
        <w:tc>
          <w:tcPr>
            <w:tcW w:w="2019" w:type="dxa"/>
            <w:tcBorders>
              <w:top w:val="double" w:color="auto" w:sz="4" w:space="0"/>
            </w:tcBorders>
            <w:shd w:val="clear" w:color="auto" w:fill="A6A6A6"/>
            <w:vAlign w:val="center"/>
          </w:tcPr>
          <w:p>
            <w:pPr>
              <w:spacing w:line="360" w:lineRule="auto"/>
              <w:jc w:val="center"/>
              <w:rPr>
                <w:rFonts w:ascii="仿宋体" w:eastAsia="仿宋体" w:cs="Times New Roman"/>
                <w:b/>
                <w:bCs/>
              </w:rPr>
            </w:pPr>
            <w:r>
              <w:rPr>
                <w:rFonts w:hint="eastAsia" w:ascii="仿宋体" w:eastAsia="仿宋体" w:cs="仿宋体"/>
                <w:b/>
                <w:bCs/>
              </w:rPr>
              <w:t>网络信息点</w:t>
            </w:r>
          </w:p>
        </w:tc>
        <w:tc>
          <w:tcPr>
            <w:tcW w:w="1844" w:type="dxa"/>
            <w:tcBorders>
              <w:top w:val="double" w:color="auto" w:sz="4" w:space="0"/>
            </w:tcBorders>
            <w:shd w:val="clear" w:color="auto" w:fill="A6A6A6"/>
            <w:vAlign w:val="center"/>
          </w:tcPr>
          <w:p>
            <w:pPr>
              <w:spacing w:line="360" w:lineRule="auto"/>
              <w:jc w:val="center"/>
              <w:rPr>
                <w:rFonts w:ascii="仿宋体" w:eastAsia="仿宋体" w:cs="Times New Roman"/>
                <w:b/>
                <w:bCs/>
              </w:rPr>
            </w:pPr>
            <w:r>
              <w:rPr>
                <w:rFonts w:hint="eastAsia" w:ascii="仿宋体" w:eastAsia="仿宋体" w:cs="仿宋体"/>
                <w:b/>
                <w:bCs/>
              </w:rPr>
              <w:t>小计</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1384" w:type="dxa"/>
            <w:vAlign w:val="center"/>
          </w:tcPr>
          <w:p>
            <w:pPr>
              <w:spacing w:line="360" w:lineRule="auto"/>
              <w:jc w:val="center"/>
              <w:rPr>
                <w:rFonts w:ascii="仿宋体" w:eastAsia="仿宋体" w:cs="Times New Roman"/>
              </w:rPr>
            </w:pPr>
          </w:p>
        </w:tc>
        <w:tc>
          <w:tcPr>
            <w:tcW w:w="1843" w:type="dxa"/>
            <w:vAlign w:val="center"/>
          </w:tcPr>
          <w:p>
            <w:pPr>
              <w:spacing w:line="360" w:lineRule="auto"/>
              <w:jc w:val="center"/>
              <w:rPr>
                <w:rFonts w:ascii="仿宋体" w:eastAsia="仿宋体" w:cs="Times New Roman"/>
              </w:rPr>
            </w:pPr>
          </w:p>
        </w:tc>
        <w:tc>
          <w:tcPr>
            <w:tcW w:w="2126" w:type="dxa"/>
            <w:vAlign w:val="center"/>
          </w:tcPr>
          <w:p>
            <w:pPr>
              <w:spacing w:line="360" w:lineRule="auto"/>
              <w:jc w:val="center"/>
              <w:rPr>
                <w:rFonts w:ascii="仿宋体" w:eastAsia="仿宋体" w:cs="Times New Roman"/>
              </w:rPr>
            </w:pPr>
          </w:p>
        </w:tc>
        <w:tc>
          <w:tcPr>
            <w:tcW w:w="2019" w:type="dxa"/>
            <w:vAlign w:val="center"/>
          </w:tcPr>
          <w:p>
            <w:pPr>
              <w:spacing w:line="360" w:lineRule="auto"/>
              <w:jc w:val="center"/>
              <w:rPr>
                <w:rFonts w:ascii="仿宋体" w:eastAsia="仿宋体" w:cs="Times New Roman"/>
              </w:rPr>
            </w:pPr>
          </w:p>
        </w:tc>
        <w:tc>
          <w:tcPr>
            <w:tcW w:w="1844" w:type="dxa"/>
            <w:vAlign w:val="center"/>
          </w:tcPr>
          <w:p>
            <w:pPr>
              <w:spacing w:line="360" w:lineRule="auto"/>
              <w:jc w:val="center"/>
              <w:rPr>
                <w:rFonts w:ascii="仿宋体" w:eastAsia="仿宋体" w:cs="Times New Roman"/>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1384" w:type="dxa"/>
            <w:vAlign w:val="center"/>
          </w:tcPr>
          <w:p>
            <w:pPr>
              <w:spacing w:line="360" w:lineRule="auto"/>
              <w:jc w:val="center"/>
              <w:rPr>
                <w:rFonts w:ascii="仿宋体" w:eastAsia="仿宋体" w:cs="Times New Roman"/>
              </w:rPr>
            </w:pPr>
          </w:p>
        </w:tc>
        <w:tc>
          <w:tcPr>
            <w:tcW w:w="1843" w:type="dxa"/>
            <w:vAlign w:val="center"/>
          </w:tcPr>
          <w:p>
            <w:pPr>
              <w:spacing w:line="360" w:lineRule="auto"/>
              <w:jc w:val="center"/>
              <w:rPr>
                <w:rFonts w:ascii="仿宋体" w:eastAsia="仿宋体" w:cs="Times New Roman"/>
              </w:rPr>
            </w:pPr>
          </w:p>
        </w:tc>
        <w:tc>
          <w:tcPr>
            <w:tcW w:w="2126" w:type="dxa"/>
            <w:vAlign w:val="center"/>
          </w:tcPr>
          <w:p>
            <w:pPr>
              <w:spacing w:line="360" w:lineRule="auto"/>
              <w:jc w:val="center"/>
              <w:rPr>
                <w:rFonts w:ascii="仿宋体" w:eastAsia="仿宋体" w:cs="Times New Roman"/>
              </w:rPr>
            </w:pPr>
          </w:p>
        </w:tc>
        <w:tc>
          <w:tcPr>
            <w:tcW w:w="2019" w:type="dxa"/>
            <w:vAlign w:val="center"/>
          </w:tcPr>
          <w:p>
            <w:pPr>
              <w:spacing w:line="360" w:lineRule="auto"/>
              <w:jc w:val="center"/>
              <w:rPr>
                <w:rFonts w:ascii="仿宋体" w:eastAsia="仿宋体" w:cs="Times New Roman"/>
              </w:rPr>
            </w:pPr>
          </w:p>
        </w:tc>
        <w:tc>
          <w:tcPr>
            <w:tcW w:w="1844" w:type="dxa"/>
            <w:vAlign w:val="center"/>
          </w:tcPr>
          <w:p>
            <w:pPr>
              <w:spacing w:line="360" w:lineRule="auto"/>
              <w:jc w:val="center"/>
              <w:rPr>
                <w:rFonts w:ascii="仿宋体" w:eastAsia="仿宋体" w:cs="Times New Roman"/>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1384" w:type="dxa"/>
            <w:tcBorders>
              <w:bottom w:val="double" w:color="auto" w:sz="4" w:space="0"/>
            </w:tcBorders>
            <w:vAlign w:val="center"/>
          </w:tcPr>
          <w:p>
            <w:pPr>
              <w:spacing w:line="360" w:lineRule="auto"/>
              <w:jc w:val="center"/>
              <w:rPr>
                <w:rFonts w:ascii="仿宋体" w:eastAsia="仿宋体" w:cs="Times New Roman"/>
              </w:rPr>
            </w:pPr>
          </w:p>
        </w:tc>
        <w:tc>
          <w:tcPr>
            <w:tcW w:w="1843" w:type="dxa"/>
            <w:tcBorders>
              <w:bottom w:val="double" w:color="auto" w:sz="4" w:space="0"/>
            </w:tcBorders>
            <w:vAlign w:val="center"/>
          </w:tcPr>
          <w:p>
            <w:pPr>
              <w:spacing w:line="360" w:lineRule="auto"/>
              <w:jc w:val="center"/>
              <w:rPr>
                <w:rFonts w:ascii="仿宋体" w:eastAsia="仿宋体" w:cs="Times New Roman"/>
              </w:rPr>
            </w:pPr>
          </w:p>
        </w:tc>
        <w:tc>
          <w:tcPr>
            <w:tcW w:w="2126" w:type="dxa"/>
            <w:tcBorders>
              <w:bottom w:val="double" w:color="auto" w:sz="4" w:space="0"/>
            </w:tcBorders>
            <w:vAlign w:val="center"/>
          </w:tcPr>
          <w:p>
            <w:pPr>
              <w:spacing w:line="360" w:lineRule="auto"/>
              <w:jc w:val="center"/>
              <w:rPr>
                <w:rFonts w:ascii="仿宋体" w:eastAsia="仿宋体" w:cs="Times New Roman"/>
              </w:rPr>
            </w:pPr>
          </w:p>
        </w:tc>
        <w:tc>
          <w:tcPr>
            <w:tcW w:w="2019" w:type="dxa"/>
            <w:tcBorders>
              <w:bottom w:val="double" w:color="auto" w:sz="4" w:space="0"/>
            </w:tcBorders>
            <w:vAlign w:val="center"/>
          </w:tcPr>
          <w:p>
            <w:pPr>
              <w:spacing w:line="360" w:lineRule="auto"/>
              <w:jc w:val="center"/>
              <w:rPr>
                <w:rFonts w:ascii="仿宋体" w:eastAsia="仿宋体" w:cs="Times New Roman"/>
              </w:rPr>
            </w:pPr>
          </w:p>
        </w:tc>
        <w:tc>
          <w:tcPr>
            <w:tcW w:w="1844" w:type="dxa"/>
            <w:tcBorders>
              <w:bottom w:val="double" w:color="auto" w:sz="4" w:space="0"/>
            </w:tcBorders>
            <w:vAlign w:val="center"/>
          </w:tcPr>
          <w:p>
            <w:pPr>
              <w:spacing w:line="360" w:lineRule="auto"/>
              <w:jc w:val="center"/>
              <w:rPr>
                <w:rFonts w:ascii="仿宋体" w:eastAsia="仿宋体" w:cs="Times New Roman"/>
              </w:rPr>
            </w:pPr>
          </w:p>
        </w:tc>
      </w:tr>
    </w:tbl>
    <w:p>
      <w:pPr>
        <w:pStyle w:val="9"/>
        <w:ind w:firstLineChars="0"/>
        <w:outlineLvl w:val="2"/>
        <w:rPr>
          <w:b/>
          <w:bCs/>
          <w:sz w:val="24"/>
          <w:szCs w:val="24"/>
        </w:rPr>
      </w:pPr>
    </w:p>
    <w:bookmarkEnd w:id="79"/>
    <w:p>
      <w:pPr>
        <w:pStyle w:val="9"/>
        <w:ind w:left="420" w:firstLine="0" w:firstLineChars="0"/>
      </w:pPr>
    </w:p>
    <w:p>
      <w:pPr>
        <w:pStyle w:val="3"/>
        <w:numPr>
          <w:ilvl w:val="0"/>
          <w:numId w:val="0"/>
        </w:numPr>
        <w:ind w:leftChars="0"/>
        <w:rPr>
          <w:rFonts w:ascii="Tahoma" w:hAnsi="Tahoma" w:cs="Tahoma"/>
          <w:color w:val="0000FF"/>
          <w:sz w:val="24"/>
          <w:szCs w:val="24"/>
        </w:rPr>
      </w:pPr>
      <w:bookmarkStart w:id="80" w:name="_Toc279683468"/>
      <w:bookmarkStart w:id="81" w:name="_Toc26299"/>
      <w:bookmarkStart w:id="82" w:name="_Toc279680199"/>
      <w:bookmarkStart w:id="83" w:name="_Toc279683671"/>
      <w:bookmarkStart w:id="84" w:name="_Toc279758060"/>
      <w:r>
        <w:rPr>
          <w:rFonts w:hint="eastAsia" w:ascii="Tahoma" w:hAnsi="Tahoma" w:cs="Tahoma"/>
          <w:color w:val="0000FF"/>
          <w:sz w:val="24"/>
          <w:szCs w:val="24"/>
          <w:lang w:val="en-US" w:eastAsia="zh-CN"/>
        </w:rPr>
        <w:t>3.5</w:t>
      </w:r>
      <w:r>
        <w:rPr>
          <w:rFonts w:ascii="Tahoma" w:hAnsi="Tahoma" w:cs="Tahoma"/>
          <w:color w:val="0000FF"/>
          <w:sz w:val="24"/>
          <w:szCs w:val="24"/>
        </w:rPr>
        <w:t xml:space="preserve">  </w:t>
      </w:r>
      <w:bookmarkStart w:id="85" w:name="_Toc296880484"/>
      <w:r>
        <w:rPr>
          <w:rFonts w:hint="eastAsia" w:ascii="Tahoma" w:hAnsi="Tahoma" w:cs="Tahoma"/>
          <w:color w:val="0000FF"/>
          <w:sz w:val="24"/>
          <w:szCs w:val="24"/>
        </w:rPr>
        <w:t>水平子系统</w:t>
      </w:r>
      <w:bookmarkEnd w:id="80"/>
      <w:bookmarkEnd w:id="81"/>
      <w:bookmarkEnd w:id="82"/>
      <w:bookmarkEnd w:id="83"/>
      <w:bookmarkEnd w:id="84"/>
      <w:bookmarkEnd w:id="85"/>
    </w:p>
    <w:p>
      <w:pPr>
        <w:pStyle w:val="23"/>
        <w:spacing w:before="0" w:beforeAutospacing="0" w:after="0" w:afterAutospacing="0" w:line="360" w:lineRule="auto"/>
        <w:ind w:firstLine="420" w:firstLineChars="200"/>
        <w:rPr>
          <w:color w:val="000000"/>
          <w:sz w:val="21"/>
          <w:szCs w:val="21"/>
        </w:rPr>
      </w:pPr>
      <w:r>
        <w:rPr>
          <w:rFonts w:hint="eastAsia"/>
          <w:color w:val="000000"/>
          <w:sz w:val="21"/>
          <w:szCs w:val="21"/>
        </w:rPr>
        <w:t>水平子系统是指从楼层配线间至工作区用户信息插座，即由水平电缆和中间配线设备等组成。采用星型拓扑结构，每个信息点均需连接到管理子系统。如果水平子系统采用双绞线布线，则最大水平距离为</w:t>
      </w:r>
      <w:r>
        <w:rPr>
          <w:color w:val="000000"/>
          <w:sz w:val="21"/>
          <w:szCs w:val="21"/>
        </w:rPr>
        <w:t>90m</w:t>
      </w:r>
      <w:r>
        <w:rPr>
          <w:rFonts w:hint="eastAsia"/>
          <w:color w:val="000000"/>
          <w:sz w:val="21"/>
          <w:szCs w:val="21"/>
        </w:rPr>
        <w:t>（</w:t>
      </w:r>
      <w:r>
        <w:rPr>
          <w:color w:val="000000"/>
          <w:sz w:val="21"/>
          <w:szCs w:val="21"/>
        </w:rPr>
        <w:t>295ft</w:t>
      </w:r>
      <w:r>
        <w:rPr>
          <w:rFonts w:hint="eastAsia"/>
          <w:color w:val="000000"/>
          <w:sz w:val="21"/>
          <w:szCs w:val="21"/>
        </w:rPr>
        <w:t>），该距离是指从管理间子系统的配线架的背部端口至工作区的信息插座的电缆长度。工作区的终端跳线、连接设备的设备跳线的总长度不应超过</w:t>
      </w:r>
      <w:r>
        <w:rPr>
          <w:color w:val="000000"/>
          <w:sz w:val="21"/>
          <w:szCs w:val="21"/>
        </w:rPr>
        <w:t>10M</w:t>
      </w:r>
      <w:r>
        <w:rPr>
          <w:rFonts w:hint="eastAsia"/>
          <w:color w:val="000000"/>
          <w:sz w:val="21"/>
          <w:szCs w:val="21"/>
        </w:rPr>
        <w:t>。水平布线系统施工是综合布线中施工量最大、最重要的工作，</w:t>
      </w:r>
      <w:r>
        <w:rPr>
          <w:rFonts w:hint="eastAsia"/>
        </w:rPr>
        <w:t>该部分通过与土建配合，在土建过程中埋设暗管或敷设线槽、桥架等，按吊顶上和机房地板下两种方式布放。</w:t>
      </w:r>
      <w:r>
        <w:rPr>
          <w:rFonts w:hint="eastAsia"/>
          <w:color w:val="000000"/>
          <w:sz w:val="21"/>
          <w:szCs w:val="21"/>
        </w:rPr>
        <w:t>在建筑物施工完成后，不易变更，因此要严格按规范施工，保证链路性能。</w:t>
      </w:r>
    </w:p>
    <w:p>
      <w:pPr>
        <w:pStyle w:val="23"/>
        <w:spacing w:before="0" w:beforeAutospacing="0" w:after="0" w:afterAutospacing="0" w:line="360" w:lineRule="auto"/>
        <w:ind w:firstLine="420" w:firstLineChars="200"/>
        <w:jc w:val="center"/>
        <w:rPr>
          <w:color w:val="000000"/>
          <w:sz w:val="21"/>
          <w:szCs w:val="21"/>
        </w:rPr>
      </w:pPr>
      <w:r>
        <w:rPr>
          <w:rFonts w:ascii="宋体" w:hAnsi="宋体" w:eastAsia="宋体" w:cs="宋体"/>
          <w:color w:val="000000"/>
          <w:kern w:val="0"/>
          <w:sz w:val="21"/>
          <w:szCs w:val="21"/>
          <w:lang w:val="en-US" w:eastAsia="zh-CN" w:bidi="ar-SA"/>
        </w:rPr>
        <w:drawing>
          <wp:inline distT="0" distB="0" distL="114300" distR="114300">
            <wp:extent cx="4954270" cy="3050540"/>
            <wp:effectExtent l="0" t="0" r="0" b="0"/>
            <wp:docPr id="35" name="图片 42" descr="链路.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2" descr="链路.JPG"/>
                    <pic:cNvPicPr>
                      <a:picLocks noChangeAspect="1"/>
                    </pic:cNvPicPr>
                  </pic:nvPicPr>
                  <pic:blipFill>
                    <a:blip r:embed="rId12">
                      <a:lum/>
                    </a:blip>
                    <a:srcRect t="1999" r="4982"/>
                    <a:stretch>
                      <a:fillRect/>
                    </a:stretch>
                  </pic:blipFill>
                  <pic:spPr>
                    <a:xfrm>
                      <a:off x="0" y="0"/>
                      <a:ext cx="4954270" cy="3050540"/>
                    </a:xfrm>
                    <a:prstGeom prst="rect">
                      <a:avLst/>
                    </a:prstGeom>
                    <a:noFill/>
                    <a:ln w="9525">
                      <a:noFill/>
                      <a:miter/>
                    </a:ln>
                  </pic:spPr>
                </pic:pic>
              </a:graphicData>
            </a:graphic>
          </wp:inline>
        </w:drawing>
      </w:r>
    </w:p>
    <w:p>
      <w:pPr>
        <w:pStyle w:val="23"/>
        <w:spacing w:before="0" w:beforeAutospacing="0" w:after="0" w:afterAutospacing="0" w:line="360" w:lineRule="auto"/>
        <w:rPr>
          <w:rFonts w:cs="Times New Roman"/>
          <w:color w:val="000000"/>
          <w:sz w:val="21"/>
          <w:szCs w:val="21"/>
        </w:rPr>
      </w:pPr>
    </w:p>
    <w:p>
      <w:pPr>
        <w:pStyle w:val="9"/>
        <w:ind w:firstLine="945" w:firstLineChars="450"/>
        <w:rPr>
          <w:sz w:val="24"/>
          <w:szCs w:val="24"/>
        </w:rPr>
      </w:pPr>
      <w:r>
        <w:rPr>
          <w:rFonts w:ascii="宋体" w:hAnsi="Times New Roman" w:eastAsia="宋体" w:cs="Times New Roman"/>
          <w:kern w:val="2"/>
          <w:sz w:val="21"/>
          <w:szCs w:val="21"/>
          <w:lang w:val="en-US" w:eastAsia="zh-CN" w:bidi="ar-SA"/>
        </w:rPr>
        <w:drawing>
          <wp:inline distT="0" distB="0" distL="114300" distR="114300">
            <wp:extent cx="4763135" cy="1521460"/>
            <wp:effectExtent l="0" t="0" r="0" b="2540"/>
            <wp:docPr id="3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
                    <pic:cNvPicPr>
                      <a:picLocks noChangeAspect="1"/>
                    </pic:cNvPicPr>
                  </pic:nvPicPr>
                  <pic:blipFill>
                    <a:blip r:embed="rId13">
                      <a:lum/>
                    </a:blip>
                    <a:srcRect/>
                    <a:stretch>
                      <a:fillRect/>
                    </a:stretch>
                  </pic:blipFill>
                  <pic:spPr>
                    <a:xfrm>
                      <a:off x="0" y="0"/>
                      <a:ext cx="4763135" cy="1521460"/>
                    </a:xfrm>
                    <a:prstGeom prst="rect">
                      <a:avLst/>
                    </a:prstGeom>
                    <a:noFill/>
                    <a:ln w="9525">
                      <a:noFill/>
                      <a:miter/>
                    </a:ln>
                  </pic:spPr>
                </pic:pic>
              </a:graphicData>
            </a:graphic>
          </wp:inline>
        </w:drawing>
      </w:r>
      <w:r>
        <w:rPr>
          <w:rFonts w:ascii="宋体"/>
        </w:rPr>
        <w:br w:type="textWrapping"/>
      </w:r>
    </w:p>
    <w:p>
      <w:pPr>
        <w:pStyle w:val="3"/>
        <w:numPr>
          <w:ilvl w:val="0"/>
          <w:numId w:val="0"/>
        </w:numPr>
        <w:ind w:leftChars="0"/>
        <w:rPr>
          <w:rFonts w:ascii="Tahoma" w:hAnsi="Tahoma" w:cs="Tahoma"/>
          <w:color w:val="0000FF"/>
          <w:sz w:val="24"/>
          <w:szCs w:val="24"/>
        </w:rPr>
      </w:pPr>
      <w:bookmarkStart w:id="86" w:name="_Toc279758069"/>
      <w:bookmarkStart w:id="87" w:name="_Toc279683473"/>
      <w:bookmarkStart w:id="88" w:name="_Toc279683680"/>
      <w:bookmarkStart w:id="89" w:name="_Toc279680201"/>
      <w:bookmarkStart w:id="90" w:name="_Toc29776"/>
      <w:r>
        <w:rPr>
          <w:rFonts w:hint="eastAsia" w:ascii="Tahoma" w:hAnsi="Tahoma" w:cs="Tahoma"/>
          <w:color w:val="0000FF"/>
          <w:sz w:val="24"/>
          <w:szCs w:val="24"/>
          <w:lang w:val="en-US" w:eastAsia="zh-CN"/>
        </w:rPr>
        <w:t>3.6</w:t>
      </w:r>
      <w:r>
        <w:rPr>
          <w:rFonts w:ascii="Tahoma" w:hAnsi="Tahoma" w:cs="Tahoma"/>
          <w:color w:val="0000FF"/>
          <w:sz w:val="24"/>
          <w:szCs w:val="24"/>
        </w:rPr>
        <w:t xml:space="preserve">  </w:t>
      </w:r>
      <w:bookmarkStart w:id="91" w:name="_Toc296880493"/>
      <w:r>
        <w:rPr>
          <w:rFonts w:hint="eastAsia" w:ascii="Tahoma" w:hAnsi="Tahoma" w:cs="Tahoma"/>
          <w:color w:val="0000FF"/>
          <w:sz w:val="24"/>
          <w:szCs w:val="24"/>
        </w:rPr>
        <w:t>干线子系统线缆</w:t>
      </w:r>
      <w:bookmarkEnd w:id="86"/>
      <w:bookmarkEnd w:id="87"/>
      <w:bookmarkEnd w:id="88"/>
      <w:bookmarkEnd w:id="89"/>
      <w:bookmarkEnd w:id="90"/>
      <w:bookmarkEnd w:id="91"/>
    </w:p>
    <w:p>
      <w:pPr>
        <w:pStyle w:val="9"/>
        <w:ind w:left="-283" w:leftChars="-118" w:firstLine="567" w:firstLineChars="0"/>
        <w:rPr>
          <w:rFonts w:ascii="宋体"/>
        </w:rPr>
      </w:pPr>
      <w:r>
        <w:rPr>
          <w:rFonts w:hint="eastAsia" w:ascii="宋体" w:hAnsi="宋体" w:cs="宋体"/>
        </w:rPr>
        <w:t>垂直干线子系统由连接主设备间至各楼层配线间之间的线缆构成。其功能主要是把各分层配线架与主配线架相连，用主干电缆提供楼层之间通信的通道，使整个布线系统组成一个有机的整体，垂直干线子系统拓扑结构采用分层星型拓扑结构，每个楼层配线间均需采用垂直主干线缆连接到大楼主设备间。综合布线工程中一般采用六类屏蔽、六类非屏蔽电缆和室内多模光缆作为主要组成材料。</w:t>
      </w:r>
    </w:p>
    <w:p>
      <w:pPr>
        <w:pStyle w:val="9"/>
        <w:ind w:left="482" w:firstLine="480" w:firstLineChars="0"/>
        <w:rPr>
          <w:rFonts w:ascii="宋体"/>
        </w:rPr>
      </w:pPr>
      <w:r>
        <w:rPr>
          <w:rFonts w:ascii="Times New Roman" w:hAnsi="Times New Roman" w:eastAsia="宋体" w:cs="Times New Roman"/>
          <w:kern w:val="2"/>
          <w:sz w:val="21"/>
          <w:szCs w:val="21"/>
          <w:lang w:val="en-US" w:eastAsia="zh-CN" w:bidi="ar-SA"/>
        </w:rPr>
        <w:drawing>
          <wp:anchor distT="0" distB="0" distL="114300" distR="114300" simplePos="0" relativeHeight="251667456" behindDoc="0" locked="0" layoutInCell="1" allowOverlap="1">
            <wp:simplePos x="0" y="0"/>
            <wp:positionH relativeFrom="column">
              <wp:posOffset>1506855</wp:posOffset>
            </wp:positionH>
            <wp:positionV relativeFrom="paragraph">
              <wp:posOffset>149860</wp:posOffset>
            </wp:positionV>
            <wp:extent cx="2308225" cy="2530475"/>
            <wp:effectExtent l="0" t="0" r="0" b="3175"/>
            <wp:wrapSquare wrapText="bothSides"/>
            <wp:docPr id="1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5"/>
                    <pic:cNvPicPr>
                      <a:picLocks noChangeAspect="1"/>
                    </pic:cNvPicPr>
                  </pic:nvPicPr>
                  <pic:blipFill>
                    <a:blip r:embed="rId14">
                      <a:lum/>
                    </a:blip>
                    <a:srcRect/>
                    <a:stretch>
                      <a:fillRect/>
                    </a:stretch>
                  </pic:blipFill>
                  <pic:spPr>
                    <a:xfrm>
                      <a:off x="0" y="0"/>
                      <a:ext cx="2308225" cy="2530475"/>
                    </a:xfrm>
                    <a:prstGeom prst="rect">
                      <a:avLst/>
                    </a:prstGeom>
                    <a:noFill/>
                    <a:ln w="9525">
                      <a:noFill/>
                      <a:miter/>
                    </a:ln>
                  </pic:spPr>
                </pic:pic>
              </a:graphicData>
            </a:graphic>
          </wp:anchor>
        </w:drawing>
      </w:r>
    </w:p>
    <w:p>
      <w:pPr>
        <w:pStyle w:val="9"/>
        <w:ind w:left="482" w:firstLine="480" w:firstLineChars="0"/>
        <w:rPr>
          <w:rFonts w:ascii="宋体"/>
        </w:rPr>
      </w:pPr>
    </w:p>
    <w:p>
      <w:pPr>
        <w:pStyle w:val="9"/>
        <w:ind w:left="482" w:firstLine="480" w:firstLineChars="0"/>
        <w:rPr>
          <w:rFonts w:ascii="宋体"/>
        </w:rPr>
      </w:pPr>
    </w:p>
    <w:p>
      <w:pPr>
        <w:pStyle w:val="9"/>
        <w:ind w:left="482" w:firstLine="480" w:firstLineChars="0"/>
        <w:rPr>
          <w:rFonts w:ascii="宋体"/>
        </w:rPr>
      </w:pPr>
    </w:p>
    <w:p>
      <w:pPr>
        <w:pStyle w:val="9"/>
        <w:ind w:left="482" w:firstLine="480" w:firstLineChars="0"/>
        <w:rPr>
          <w:rFonts w:ascii="宋体"/>
        </w:rPr>
      </w:pPr>
    </w:p>
    <w:p>
      <w:pPr>
        <w:pStyle w:val="9"/>
        <w:ind w:left="482" w:firstLine="480" w:firstLineChars="0"/>
        <w:rPr>
          <w:rFonts w:ascii="宋体"/>
        </w:rPr>
      </w:pPr>
    </w:p>
    <w:p>
      <w:pPr>
        <w:pStyle w:val="9"/>
        <w:ind w:firstLine="0" w:firstLineChars="0"/>
        <w:rPr>
          <w:rFonts w:ascii="宋体"/>
        </w:rPr>
      </w:pPr>
    </w:p>
    <w:p>
      <w:pPr>
        <w:pStyle w:val="4"/>
        <w:rPr>
          <w:color w:val="0000FF"/>
          <w:sz w:val="24"/>
          <w:szCs w:val="24"/>
        </w:rPr>
      </w:pPr>
      <w:bookmarkStart w:id="92" w:name="_Toc296880496"/>
      <w:bookmarkStart w:id="93" w:name="_Toc279758072"/>
      <w:bookmarkStart w:id="94" w:name="_Toc279683683"/>
      <w:bookmarkStart w:id="95" w:name="_Toc279683474"/>
      <w:bookmarkStart w:id="96" w:name="_Toc279680202"/>
      <w:bookmarkStart w:id="97" w:name="_Toc25203"/>
      <w:r>
        <w:rPr>
          <w:rFonts w:hint="eastAsia"/>
          <w:color w:val="0000FF"/>
          <w:sz w:val="24"/>
          <w:szCs w:val="24"/>
          <w:lang w:val="en-US" w:eastAsia="zh-CN"/>
        </w:rPr>
        <w:t>3.7</w:t>
      </w:r>
      <w:r>
        <w:rPr>
          <w:color w:val="0000FF"/>
          <w:sz w:val="24"/>
          <w:szCs w:val="24"/>
        </w:rPr>
        <w:t xml:space="preserve"> </w:t>
      </w:r>
      <w:r>
        <w:rPr>
          <w:rFonts w:hint="eastAsia" w:cs="宋体"/>
          <w:color w:val="0000FF"/>
          <w:sz w:val="24"/>
          <w:szCs w:val="24"/>
        </w:rPr>
        <w:t>设备间系统</w:t>
      </w:r>
      <w:bookmarkEnd w:id="92"/>
      <w:bookmarkEnd w:id="93"/>
      <w:bookmarkEnd w:id="94"/>
      <w:bookmarkEnd w:id="95"/>
      <w:bookmarkEnd w:id="96"/>
      <w:bookmarkEnd w:id="97"/>
    </w:p>
    <w:p>
      <w:pPr>
        <w:spacing w:line="360" w:lineRule="auto"/>
        <w:ind w:firstLine="420" w:firstLineChars="200"/>
        <w:rPr>
          <w:sz w:val="21"/>
          <w:szCs w:val="21"/>
        </w:rPr>
      </w:pPr>
      <w:bookmarkStart w:id="98" w:name="_Toc112466405"/>
      <w:bookmarkStart w:id="99" w:name="_Toc48444293"/>
      <w:r>
        <w:rPr>
          <w:rFonts w:hint="eastAsia"/>
          <w:sz w:val="21"/>
          <w:szCs w:val="21"/>
        </w:rPr>
        <w:t>设备间子系统是一个集中化设备区，连接系统公共设备，如</w:t>
      </w:r>
      <w:r>
        <w:rPr>
          <w:sz w:val="21"/>
          <w:szCs w:val="21"/>
        </w:rPr>
        <w:t>PBX</w:t>
      </w:r>
      <w:r>
        <w:rPr>
          <w:rFonts w:hint="eastAsia"/>
          <w:sz w:val="21"/>
          <w:szCs w:val="21"/>
        </w:rPr>
        <w:t>、核心交换机、服务器、建筑自动化和保安系统，及通过垂直干线子系统连接至管理子系统。</w:t>
      </w:r>
    </w:p>
    <w:p>
      <w:pPr>
        <w:spacing w:line="360" w:lineRule="auto"/>
        <w:ind w:firstLine="420" w:firstLineChars="200"/>
        <w:rPr>
          <w:rFonts w:cs="Times New Roman"/>
          <w:sz w:val="21"/>
          <w:szCs w:val="21"/>
        </w:rPr>
      </w:pPr>
    </w:p>
    <w:p>
      <w:pPr>
        <w:spacing w:line="360" w:lineRule="auto"/>
        <w:ind w:firstLine="420" w:firstLineChars="200"/>
        <w:rPr>
          <w:sz w:val="21"/>
          <w:szCs w:val="21"/>
        </w:rPr>
      </w:pPr>
      <w:r>
        <w:rPr>
          <w:rFonts w:hint="eastAsia"/>
          <w:sz w:val="21"/>
          <w:szCs w:val="21"/>
        </w:rPr>
        <w:t>设备间子系统是大楼中数据、语音垂直主干线缆终接的场所；也是建筑群来的线缆进入建筑物终接的场所；更是各种数据语音主机设备及保护设施的安装场所。建议设备间子系统设在建筑物中部或在建筑物的一、二层，位置不应远离电梯，而且为以后的扩展留有余地，不建议在顶层或地下室。建议建筑群来的线缆进入建筑物时应有相应的过流、过压保护设施。</w:t>
      </w:r>
    </w:p>
    <w:p>
      <w:pPr>
        <w:spacing w:line="360" w:lineRule="auto"/>
        <w:ind w:firstLine="420" w:firstLineChars="200"/>
        <w:rPr>
          <w:rFonts w:cs="Times New Roman"/>
          <w:sz w:val="21"/>
          <w:szCs w:val="21"/>
          <w:lang w:eastAsia="zh-TW"/>
        </w:rPr>
      </w:pPr>
    </w:p>
    <w:p>
      <w:pPr>
        <w:spacing w:line="360" w:lineRule="auto"/>
        <w:ind w:firstLine="420" w:firstLineChars="200"/>
        <w:rPr>
          <w:rFonts w:cs="Times New Roman"/>
          <w:sz w:val="21"/>
          <w:szCs w:val="21"/>
          <w:lang w:eastAsia="zh-TW"/>
        </w:rPr>
      </w:pPr>
      <w:r>
        <w:rPr>
          <w:rFonts w:hint="eastAsia"/>
          <w:sz w:val="21"/>
          <w:szCs w:val="21"/>
        </w:rPr>
        <w:t>设备间子系统空间要控制环境；是系统进行管理、控制、维护的场所按</w:t>
      </w:r>
      <w:r>
        <w:rPr>
          <w:sz w:val="21"/>
          <w:szCs w:val="21"/>
        </w:rPr>
        <w:t>ANSI/TIA/EIA-569</w:t>
      </w:r>
      <w:r>
        <w:rPr>
          <w:rFonts w:hint="eastAsia"/>
          <w:sz w:val="21"/>
          <w:szCs w:val="21"/>
        </w:rPr>
        <w:t>要求设计。设备间子系统空间用于安装电信设备、连接硬件、接头套管等，为接地和连接设施、保护装置提供，设备间子系统所在的空间还有对门窗、天花板、电源、照明、接地的要求。</w:t>
      </w:r>
    </w:p>
    <w:p>
      <w:pPr>
        <w:spacing w:line="360" w:lineRule="auto"/>
        <w:ind w:firstLine="480" w:firstLineChars="200"/>
        <w:rPr>
          <w:rFonts w:cs="Times New Roman"/>
          <w:lang w:eastAsia="zh-TW"/>
        </w:rPr>
      </w:pPr>
    </w:p>
    <w:p>
      <w:pPr>
        <w:snapToGrid w:val="0"/>
        <w:spacing w:line="360" w:lineRule="auto"/>
        <w:jc w:val="center"/>
        <w:rPr>
          <w:rFonts w:cs="Times New Roman"/>
        </w:rPr>
      </w:pPr>
      <w:r>
        <w:rPr>
          <w:rFonts w:ascii="宋体" w:hAnsi="宋体" w:eastAsia="宋体" w:cs="Times New Roman"/>
          <w:kern w:val="2"/>
          <w:sz w:val="24"/>
          <w:szCs w:val="24"/>
          <w:lang w:val="en-US" w:eastAsia="zh-CN" w:bidi="ar-SA"/>
        </w:rPr>
        <w:drawing>
          <wp:inline distT="0" distB="0" distL="114300" distR="114300">
            <wp:extent cx="3807460" cy="2061845"/>
            <wp:effectExtent l="0" t="0" r="2540" b="0"/>
            <wp:docPr id="4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0"/>
                    <pic:cNvPicPr>
                      <a:picLocks noChangeAspect="1"/>
                    </pic:cNvPicPr>
                  </pic:nvPicPr>
                  <pic:blipFill>
                    <a:blip r:embed="rId15">
                      <a:lum/>
                    </a:blip>
                    <a:srcRect/>
                    <a:stretch>
                      <a:fillRect/>
                    </a:stretch>
                  </pic:blipFill>
                  <pic:spPr>
                    <a:xfrm>
                      <a:off x="0" y="0"/>
                      <a:ext cx="3807460" cy="2061845"/>
                    </a:xfrm>
                    <a:prstGeom prst="rect">
                      <a:avLst/>
                    </a:prstGeom>
                    <a:noFill/>
                    <a:ln w="9525">
                      <a:noFill/>
                      <a:miter/>
                    </a:ln>
                  </pic:spPr>
                </pic:pic>
              </a:graphicData>
            </a:graphic>
          </wp:inline>
        </w:drawing>
      </w:r>
    </w:p>
    <w:bookmarkEnd w:id="98"/>
    <w:bookmarkEnd w:id="99"/>
    <w:p>
      <w:pPr>
        <w:pStyle w:val="2"/>
      </w:pPr>
      <w:bookmarkStart w:id="100" w:name="_Toc279758073"/>
      <w:bookmarkStart w:id="101" w:name="_Toc279683684"/>
      <w:bookmarkStart w:id="102" w:name="_Toc279683475"/>
      <w:bookmarkStart w:id="103" w:name="_Toc279680203"/>
      <w:bookmarkStart w:id="104" w:name="_Toc296880497"/>
      <w:bookmarkStart w:id="105" w:name="_Toc22038"/>
      <w:r>
        <w:rPr>
          <w:rFonts w:hint="eastAsia"/>
        </w:rPr>
        <w:t>第</w:t>
      </w:r>
      <w:r>
        <w:rPr>
          <w:rFonts w:hint="eastAsia"/>
          <w:lang w:eastAsia="zh-CN"/>
        </w:rPr>
        <w:t>四</w:t>
      </w:r>
      <w:r>
        <w:rPr>
          <w:rFonts w:hint="eastAsia"/>
        </w:rPr>
        <w:t>章</w:t>
      </w:r>
      <w:r>
        <w:t xml:space="preserve">  </w:t>
      </w:r>
      <w:r>
        <w:rPr>
          <w:rFonts w:hint="eastAsia"/>
        </w:rPr>
        <w:t>综合布线系统</w:t>
      </w:r>
      <w:bookmarkEnd w:id="100"/>
      <w:bookmarkEnd w:id="101"/>
      <w:bookmarkEnd w:id="102"/>
      <w:bookmarkEnd w:id="103"/>
      <w:r>
        <w:rPr>
          <w:rFonts w:hint="eastAsia"/>
        </w:rPr>
        <w:t>施工及设备安装</w:t>
      </w:r>
      <w:bookmarkEnd w:id="104"/>
      <w:bookmarkEnd w:id="105"/>
    </w:p>
    <w:p>
      <w:pPr>
        <w:rPr>
          <w:sz w:val="21"/>
          <w:szCs w:val="21"/>
        </w:rPr>
      </w:pPr>
    </w:p>
    <w:p>
      <w:pPr>
        <w:pStyle w:val="3"/>
        <w:rPr>
          <w:color w:val="0000FF"/>
          <w:sz w:val="24"/>
          <w:szCs w:val="24"/>
        </w:rPr>
      </w:pPr>
      <w:bookmarkStart w:id="106" w:name="_Toc296880498"/>
      <w:bookmarkStart w:id="107" w:name="_Toc30965"/>
      <w:bookmarkStart w:id="108" w:name="_Toc279683685"/>
      <w:bookmarkStart w:id="109" w:name="_Toc279758074"/>
      <w:r>
        <w:rPr>
          <w:rFonts w:hint="eastAsia"/>
          <w:color w:val="0000FF"/>
          <w:sz w:val="24"/>
          <w:szCs w:val="24"/>
          <w:lang w:val="en-US" w:eastAsia="zh-CN"/>
        </w:rPr>
        <w:t>4.1</w:t>
      </w:r>
      <w:r>
        <w:rPr>
          <w:color w:val="0000FF"/>
          <w:sz w:val="24"/>
          <w:szCs w:val="24"/>
        </w:rPr>
        <w:t xml:space="preserve"> </w:t>
      </w:r>
      <w:r>
        <w:rPr>
          <w:rFonts w:hint="eastAsia"/>
          <w:color w:val="0000FF"/>
          <w:sz w:val="24"/>
          <w:szCs w:val="24"/>
        </w:rPr>
        <w:t>工程施工内容及要求</w:t>
      </w:r>
      <w:bookmarkEnd w:id="106"/>
      <w:bookmarkEnd w:id="107"/>
    </w:p>
    <w:p>
      <w:pPr>
        <w:rPr>
          <w:sz w:val="21"/>
          <w:szCs w:val="21"/>
        </w:rPr>
      </w:pPr>
      <w:r>
        <w:rPr>
          <w:color w:val="0000FF"/>
          <w:sz w:val="21"/>
          <w:szCs w:val="21"/>
        </w:rPr>
        <w:t xml:space="preserve">    </w:t>
      </w:r>
      <w:r>
        <w:rPr>
          <w:rFonts w:hint="eastAsia"/>
          <w:sz w:val="21"/>
          <w:szCs w:val="21"/>
        </w:rPr>
        <w:t>工程施工包括线路敷设、配线机柜安装、配线架和跳线架安装、线缆端接、信息模块端接及相关的全套工作。包括：</w:t>
      </w:r>
    </w:p>
    <w:p>
      <w:pPr>
        <w:widowControl/>
        <w:numPr>
          <w:ilvl w:val="0"/>
          <w:numId w:val="4"/>
        </w:numPr>
        <w:spacing w:line="360" w:lineRule="auto"/>
        <w:jc w:val="left"/>
        <w:rPr>
          <w:kern w:val="0"/>
          <w:sz w:val="21"/>
          <w:szCs w:val="21"/>
        </w:rPr>
      </w:pPr>
      <w:r>
        <w:rPr>
          <w:rFonts w:hint="eastAsia"/>
          <w:kern w:val="0"/>
          <w:sz w:val="21"/>
          <w:szCs w:val="21"/>
        </w:rPr>
        <w:t>水平双绞线、垂直大对数线缆和垂直光缆的敷设；</w:t>
      </w:r>
    </w:p>
    <w:p>
      <w:pPr>
        <w:widowControl/>
        <w:numPr>
          <w:ilvl w:val="0"/>
          <w:numId w:val="4"/>
        </w:numPr>
        <w:spacing w:line="360" w:lineRule="auto"/>
        <w:jc w:val="left"/>
        <w:rPr>
          <w:kern w:val="0"/>
          <w:sz w:val="21"/>
          <w:szCs w:val="21"/>
        </w:rPr>
      </w:pPr>
      <w:r>
        <w:rPr>
          <w:rFonts w:hint="eastAsia"/>
          <w:kern w:val="0"/>
          <w:sz w:val="21"/>
          <w:szCs w:val="21"/>
        </w:rPr>
        <w:t>信息插座面板和配线模块安装和端接（包括</w:t>
      </w:r>
      <w:r>
        <w:rPr>
          <w:kern w:val="0"/>
          <w:sz w:val="21"/>
          <w:szCs w:val="21"/>
        </w:rPr>
        <w:t>RJ45</w:t>
      </w:r>
      <w:r>
        <w:rPr>
          <w:rFonts w:hint="eastAsia"/>
          <w:kern w:val="0"/>
          <w:sz w:val="21"/>
          <w:szCs w:val="21"/>
        </w:rPr>
        <w:t>端口和光纤端口）；</w:t>
      </w:r>
    </w:p>
    <w:p>
      <w:pPr>
        <w:widowControl/>
        <w:numPr>
          <w:ilvl w:val="0"/>
          <w:numId w:val="4"/>
        </w:numPr>
        <w:spacing w:line="360" w:lineRule="auto"/>
        <w:jc w:val="left"/>
        <w:rPr>
          <w:kern w:val="0"/>
          <w:sz w:val="21"/>
          <w:szCs w:val="21"/>
        </w:rPr>
      </w:pPr>
      <w:r>
        <w:rPr>
          <w:rFonts w:hint="eastAsia"/>
          <w:kern w:val="0"/>
          <w:sz w:val="21"/>
          <w:szCs w:val="21"/>
        </w:rPr>
        <w:t>安装中在线缆长度、跳线和端接开绞的长度以及连接数的限制必须遵守</w:t>
      </w:r>
      <w:r>
        <w:rPr>
          <w:kern w:val="0"/>
          <w:sz w:val="21"/>
          <w:szCs w:val="21"/>
        </w:rPr>
        <w:t>ISO/IEC 11801</w:t>
      </w:r>
      <w:r>
        <w:rPr>
          <w:rFonts w:hint="eastAsia"/>
          <w:kern w:val="0"/>
          <w:sz w:val="21"/>
          <w:szCs w:val="21"/>
        </w:rPr>
        <w:t>的规定；</w:t>
      </w:r>
    </w:p>
    <w:p>
      <w:pPr>
        <w:widowControl/>
        <w:numPr>
          <w:ilvl w:val="0"/>
          <w:numId w:val="4"/>
        </w:numPr>
        <w:spacing w:line="360" w:lineRule="auto"/>
        <w:jc w:val="left"/>
        <w:rPr>
          <w:kern w:val="0"/>
          <w:sz w:val="21"/>
          <w:szCs w:val="21"/>
        </w:rPr>
      </w:pPr>
      <w:r>
        <w:rPr>
          <w:rFonts w:hint="eastAsia"/>
          <w:kern w:val="0"/>
          <w:sz w:val="21"/>
          <w:szCs w:val="21"/>
        </w:rPr>
        <w:t>光纤和双绞线的安装应避免强力拉抻和过小的扭曲半径，这一点必须严格遵守</w:t>
      </w:r>
      <w:r>
        <w:rPr>
          <w:kern w:val="0"/>
          <w:sz w:val="21"/>
          <w:szCs w:val="21"/>
        </w:rPr>
        <w:t>ISO/IEC 11801</w:t>
      </w:r>
      <w:r>
        <w:rPr>
          <w:rFonts w:hint="eastAsia"/>
          <w:kern w:val="0"/>
          <w:sz w:val="21"/>
          <w:szCs w:val="21"/>
        </w:rPr>
        <w:t>的规定；</w:t>
      </w:r>
    </w:p>
    <w:p>
      <w:pPr>
        <w:widowControl/>
        <w:numPr>
          <w:ilvl w:val="0"/>
          <w:numId w:val="4"/>
        </w:numPr>
        <w:spacing w:line="360" w:lineRule="auto"/>
        <w:jc w:val="left"/>
        <w:rPr>
          <w:kern w:val="0"/>
          <w:sz w:val="21"/>
          <w:szCs w:val="21"/>
        </w:rPr>
      </w:pPr>
      <w:r>
        <w:rPr>
          <w:rFonts w:hint="eastAsia"/>
          <w:kern w:val="0"/>
          <w:sz w:val="21"/>
          <w:szCs w:val="21"/>
        </w:rPr>
        <w:t>所有部件安装应牢固、可靠，并能根据环境防潮、防湿、防鼠害，避免意外损坏；</w:t>
      </w:r>
    </w:p>
    <w:p>
      <w:pPr>
        <w:widowControl/>
        <w:numPr>
          <w:ilvl w:val="0"/>
          <w:numId w:val="4"/>
        </w:numPr>
        <w:spacing w:line="360" w:lineRule="auto"/>
        <w:jc w:val="left"/>
        <w:rPr>
          <w:sz w:val="21"/>
          <w:szCs w:val="21"/>
        </w:rPr>
      </w:pPr>
      <w:r>
        <w:rPr>
          <w:rFonts w:hint="eastAsia"/>
          <w:kern w:val="0"/>
          <w:sz w:val="21"/>
          <w:szCs w:val="21"/>
        </w:rPr>
        <w:t>综合布线系统的接地必须遵守</w:t>
      </w:r>
      <w:r>
        <w:rPr>
          <w:kern w:val="0"/>
          <w:sz w:val="21"/>
          <w:szCs w:val="21"/>
        </w:rPr>
        <w:t>ISO/IEC 11801</w:t>
      </w:r>
      <w:r>
        <w:rPr>
          <w:rFonts w:hint="eastAsia"/>
          <w:kern w:val="0"/>
          <w:sz w:val="21"/>
          <w:szCs w:val="21"/>
        </w:rPr>
        <w:t>的规定。针对</w:t>
      </w:r>
      <w:r>
        <w:rPr>
          <w:b/>
          <w:color w:val="FF0066"/>
          <w:kern w:val="0"/>
          <w:sz w:val="21"/>
          <w:szCs w:val="21"/>
        </w:rPr>
        <w:t>*************</w:t>
      </w:r>
      <w:r>
        <w:rPr>
          <w:rFonts w:hint="eastAsia"/>
          <w:kern w:val="0"/>
          <w:sz w:val="21"/>
          <w:szCs w:val="21"/>
        </w:rPr>
        <w:t>的基本情况，采用</w:t>
      </w:r>
      <w:r>
        <w:rPr>
          <w:rFonts w:hint="eastAsia"/>
          <w:sz w:val="21"/>
          <w:szCs w:val="21"/>
        </w:rPr>
        <w:t>计算机保护地与配线柜屏蔽地统一接地方案。</w:t>
      </w:r>
    </w:p>
    <w:p>
      <w:pPr>
        <w:widowControl/>
        <w:spacing w:line="360" w:lineRule="auto"/>
        <w:ind w:left="420"/>
        <w:jc w:val="left"/>
        <w:rPr>
          <w:sz w:val="21"/>
          <w:szCs w:val="21"/>
        </w:rPr>
      </w:pPr>
    </w:p>
    <w:p>
      <w:pPr>
        <w:pStyle w:val="3"/>
        <w:rPr>
          <w:rFonts w:cs="Times New Roman"/>
          <w:color w:val="0000FF"/>
          <w:sz w:val="24"/>
          <w:szCs w:val="24"/>
        </w:rPr>
      </w:pPr>
      <w:bookmarkStart w:id="110" w:name="_Toc296880499"/>
      <w:bookmarkStart w:id="111" w:name="_Toc12081"/>
      <w:r>
        <w:rPr>
          <w:rFonts w:hint="eastAsia" w:cs="宋体"/>
          <w:color w:val="0000FF"/>
          <w:sz w:val="24"/>
          <w:szCs w:val="24"/>
          <w:lang w:val="en-US" w:eastAsia="zh-CN"/>
        </w:rPr>
        <w:t>4.2</w:t>
      </w:r>
      <w:r>
        <w:rPr>
          <w:rFonts w:cs="宋体"/>
          <w:color w:val="0000FF"/>
          <w:sz w:val="24"/>
          <w:szCs w:val="24"/>
        </w:rPr>
        <w:t xml:space="preserve">  </w:t>
      </w:r>
      <w:r>
        <w:rPr>
          <w:rFonts w:hint="eastAsia" w:cs="宋体"/>
          <w:color w:val="0000FF"/>
          <w:sz w:val="24"/>
          <w:szCs w:val="24"/>
        </w:rPr>
        <w:t>工作区安装</w:t>
      </w:r>
      <w:bookmarkEnd w:id="108"/>
      <w:bookmarkEnd w:id="109"/>
      <w:bookmarkEnd w:id="110"/>
      <w:bookmarkEnd w:id="111"/>
    </w:p>
    <w:p>
      <w:pPr>
        <w:pStyle w:val="9"/>
        <w:rPr>
          <w:lang w:eastAsia="zh-TW"/>
        </w:rPr>
      </w:pPr>
      <w:r>
        <w:rPr>
          <w:rFonts w:hint="eastAsia" w:cs="宋体"/>
        </w:rPr>
        <w:t>信息插座一般安装在墙面，使用</w:t>
      </w:r>
      <w:r>
        <w:t>86</w:t>
      </w:r>
      <w:r>
        <w:rPr>
          <w:rFonts w:hint="eastAsia" w:cs="宋体"/>
        </w:rPr>
        <w:t>型加深金属暗装底盒或个别明装</w:t>
      </w:r>
      <w:r>
        <w:t>86</w:t>
      </w:r>
      <w:r>
        <w:rPr>
          <w:rFonts w:hint="eastAsia" w:cs="宋体"/>
        </w:rPr>
        <w:t>型底盒。特殊场合，如大厅等考虑设置地插。</w:t>
      </w:r>
    </w:p>
    <w:p>
      <w:pPr>
        <w:pStyle w:val="9"/>
        <w:rPr>
          <w:lang w:eastAsia="zh-TW"/>
        </w:rPr>
      </w:pPr>
      <w:r>
        <w:rPr>
          <w:rFonts w:hint="eastAsia" w:cs="宋体"/>
        </w:rPr>
        <w:t>信息插座与其旁边电源插座应保持</w:t>
      </w:r>
      <w:r>
        <w:t>20cm</w:t>
      </w:r>
      <w:r>
        <w:rPr>
          <w:rFonts w:hint="eastAsia" w:cs="宋体"/>
        </w:rPr>
        <w:t>的距离，信息插座和电源插座的低边沿线距地板水平面</w:t>
      </w:r>
      <w:r>
        <w:t>30cm</w:t>
      </w:r>
      <w:r>
        <w:rPr>
          <w:rFonts w:hint="eastAsia" w:cs="宋体"/>
        </w:rPr>
        <w:t>。</w:t>
      </w:r>
    </w:p>
    <w:p>
      <w:pPr>
        <w:pStyle w:val="9"/>
      </w:pPr>
      <w:r>
        <w:rPr>
          <w:rFonts w:hint="eastAsia" w:cs="宋体"/>
        </w:rPr>
        <w:t>考虑到实际施工中有可能出现的问题，将对模块留有</w:t>
      </w:r>
      <w:r>
        <w:t>3%</w:t>
      </w:r>
      <w:r>
        <w:rPr>
          <w:rFonts w:hint="eastAsia" w:cs="宋体"/>
        </w:rPr>
        <w:t>的冗余。</w:t>
      </w:r>
    </w:p>
    <w:p>
      <w:pPr>
        <w:pStyle w:val="9"/>
        <w:rPr>
          <w:rFonts w:cs="宋体"/>
        </w:rPr>
      </w:pPr>
      <w:r>
        <w:rPr>
          <w:rFonts w:hint="eastAsia" w:cs="宋体"/>
        </w:rPr>
        <w:t>设计好底盒位置要及时与室内装修队沟通，在室内装修前将底盒布放好，避免出现重复施式、二次施工等现象。</w:t>
      </w:r>
    </w:p>
    <w:p>
      <w:pPr>
        <w:pStyle w:val="9"/>
      </w:pPr>
    </w:p>
    <w:p>
      <w:pPr>
        <w:pStyle w:val="3"/>
        <w:rPr>
          <w:rFonts w:cs="Times New Roman"/>
          <w:color w:val="0000FF"/>
          <w:sz w:val="24"/>
          <w:szCs w:val="24"/>
        </w:rPr>
      </w:pPr>
      <w:bookmarkStart w:id="112" w:name="_Toc279758075"/>
      <w:bookmarkStart w:id="113" w:name="_Toc279683686"/>
      <w:bookmarkStart w:id="114" w:name="_Toc296880500"/>
      <w:bookmarkStart w:id="115" w:name="_Toc10086"/>
      <w:r>
        <w:rPr>
          <w:rFonts w:hint="eastAsia"/>
          <w:color w:val="0000FF"/>
          <w:sz w:val="24"/>
          <w:szCs w:val="24"/>
          <w:lang w:val="en-US" w:eastAsia="zh-CN"/>
        </w:rPr>
        <w:t>4.3</w:t>
      </w:r>
      <w:r>
        <w:rPr>
          <w:color w:val="0000FF"/>
          <w:sz w:val="24"/>
          <w:szCs w:val="24"/>
        </w:rPr>
        <w:t xml:space="preserve">  </w:t>
      </w:r>
      <w:r>
        <w:rPr>
          <w:rFonts w:hint="eastAsia" w:cs="宋体"/>
          <w:color w:val="0000FF"/>
          <w:sz w:val="24"/>
          <w:szCs w:val="24"/>
        </w:rPr>
        <w:t>垂直</w:t>
      </w:r>
      <w:r>
        <w:rPr>
          <w:color w:val="0000FF"/>
          <w:sz w:val="24"/>
          <w:szCs w:val="24"/>
        </w:rPr>
        <w:t>/</w:t>
      </w:r>
      <w:r>
        <w:rPr>
          <w:rFonts w:hint="eastAsia" w:cs="宋体"/>
          <w:color w:val="0000FF"/>
          <w:sz w:val="24"/>
          <w:szCs w:val="24"/>
        </w:rPr>
        <w:t>水平布线安装</w:t>
      </w:r>
      <w:bookmarkEnd w:id="112"/>
      <w:bookmarkEnd w:id="113"/>
      <w:bookmarkEnd w:id="114"/>
      <w:bookmarkEnd w:id="115"/>
    </w:p>
    <w:p>
      <w:pPr>
        <w:snapToGrid w:val="0"/>
        <w:spacing w:line="360" w:lineRule="auto"/>
        <w:ind w:left="300" w:leftChars="125" w:firstLine="525" w:firstLineChars="250"/>
        <w:rPr>
          <w:rFonts w:cs="Times New Roman"/>
          <w:sz w:val="21"/>
          <w:szCs w:val="21"/>
        </w:rPr>
      </w:pPr>
      <w:r>
        <w:rPr>
          <w:rFonts w:hint="eastAsia"/>
          <w:sz w:val="21"/>
          <w:szCs w:val="21"/>
        </w:rPr>
        <w:t>通常采用走吊顶的轻型槽型电缆桥架</w:t>
      </w:r>
      <w:r>
        <w:rPr>
          <w:sz w:val="21"/>
          <w:szCs w:val="21"/>
        </w:rPr>
        <w:t>,</w:t>
      </w:r>
      <w:r>
        <w:rPr>
          <w:rFonts w:hint="eastAsia"/>
          <w:sz w:val="21"/>
          <w:szCs w:val="21"/>
        </w:rPr>
        <w:t>而没有采用过线箱方式。因为这种方式更加适用于大型建筑物。为水平线缆提供机械保护和支持的装配式槽型电缆桥架，是一种闭合式金属桥架，安装在吊顶内，从弱电竖井引向设有信息点的房间，在由预埋在墙内的不同规格的铁管，将线路引到墙上的暗装铁盒内。</w:t>
      </w:r>
    </w:p>
    <w:p>
      <w:pPr>
        <w:snapToGrid w:val="0"/>
        <w:spacing w:line="360" w:lineRule="auto"/>
        <w:ind w:left="360"/>
        <w:rPr>
          <w:sz w:val="21"/>
          <w:szCs w:val="21"/>
        </w:rPr>
      </w:pPr>
      <w:r>
        <w:rPr>
          <w:rFonts w:hint="eastAsia"/>
          <w:sz w:val="21"/>
          <w:szCs w:val="21"/>
        </w:rPr>
        <w:t>综合布线系统的水平布线是放射型的，线路量大，因此线槽容量的计算很重要，按照标准的线槽设计方法，应根据水平线缆的直径来确定线槽的容量，即可采用以下简易方式来计算其大小：</w:t>
      </w:r>
      <w:r>
        <w:rPr>
          <w:sz w:val="21"/>
          <w:szCs w:val="21"/>
        </w:rPr>
        <w:t xml:space="preserve"> </w:t>
      </w:r>
    </w:p>
    <w:p>
      <w:pPr>
        <w:snapToGrid w:val="0"/>
        <w:spacing w:line="360" w:lineRule="auto"/>
        <w:ind w:firstLine="316" w:firstLineChars="150"/>
        <w:rPr>
          <w:rFonts w:cs="Times New Roman"/>
          <w:b/>
          <w:bCs/>
          <w:sz w:val="21"/>
          <w:szCs w:val="21"/>
        </w:rPr>
      </w:pPr>
      <w:r>
        <w:rPr>
          <w:rFonts w:hint="eastAsia"/>
          <w:b/>
          <w:bCs/>
          <w:sz w:val="21"/>
          <w:szCs w:val="21"/>
        </w:rPr>
        <w:t>槽（管）截面积</w:t>
      </w:r>
      <w:r>
        <w:rPr>
          <w:b/>
          <w:bCs/>
          <w:sz w:val="21"/>
          <w:szCs w:val="21"/>
        </w:rPr>
        <w:t>=</w:t>
      </w:r>
      <w:r>
        <w:rPr>
          <w:rFonts w:hint="eastAsia"/>
          <w:b/>
          <w:bCs/>
          <w:sz w:val="21"/>
          <w:szCs w:val="21"/>
        </w:rPr>
        <w:t>（</w:t>
      </w:r>
      <w:r>
        <w:rPr>
          <w:b/>
          <w:bCs/>
          <w:sz w:val="21"/>
          <w:szCs w:val="21"/>
        </w:rPr>
        <w:t>n</w:t>
      </w:r>
      <w:r>
        <w:rPr>
          <w:rFonts w:hint="eastAsia"/>
          <w:b/>
          <w:bCs/>
          <w:sz w:val="21"/>
          <w:szCs w:val="21"/>
        </w:rPr>
        <w:t>×线缆截面积）</w:t>
      </w:r>
      <w:r>
        <w:rPr>
          <w:b/>
          <w:bCs/>
          <w:sz w:val="21"/>
          <w:szCs w:val="21"/>
        </w:rPr>
        <w:t>/</w:t>
      </w:r>
      <w:r>
        <w:rPr>
          <w:rFonts w:hint="eastAsia"/>
          <w:b/>
          <w:bCs/>
          <w:sz w:val="21"/>
          <w:szCs w:val="21"/>
        </w:rPr>
        <w:t>（</w:t>
      </w:r>
      <w:r>
        <w:rPr>
          <w:b/>
          <w:bCs/>
          <w:sz w:val="21"/>
          <w:szCs w:val="21"/>
        </w:rPr>
        <w:t>7 0 %</w:t>
      </w:r>
      <w:r>
        <w:rPr>
          <w:rFonts w:hint="eastAsia"/>
          <w:b/>
          <w:bCs/>
          <w:sz w:val="21"/>
          <w:szCs w:val="21"/>
        </w:rPr>
        <w:t>×（</w:t>
      </w:r>
      <w:r>
        <w:rPr>
          <w:b/>
          <w:bCs/>
          <w:sz w:val="21"/>
          <w:szCs w:val="21"/>
        </w:rPr>
        <w:t>4 0</w:t>
      </w:r>
      <w:r>
        <w:rPr>
          <w:rFonts w:hint="eastAsia"/>
          <w:b/>
          <w:bCs/>
          <w:sz w:val="21"/>
          <w:szCs w:val="21"/>
        </w:rPr>
        <w:t>～</w:t>
      </w:r>
      <w:r>
        <w:rPr>
          <w:b/>
          <w:bCs/>
          <w:sz w:val="21"/>
          <w:szCs w:val="21"/>
        </w:rPr>
        <w:t>5 0</w:t>
      </w:r>
      <w:r>
        <w:rPr>
          <w:rFonts w:hint="eastAsia"/>
          <w:b/>
          <w:bCs/>
          <w:sz w:val="21"/>
          <w:szCs w:val="21"/>
        </w:rPr>
        <w:t>％</w:t>
      </w:r>
      <w:r>
        <w:rPr>
          <w:b/>
          <w:bCs/>
          <w:sz w:val="21"/>
          <w:szCs w:val="21"/>
        </w:rPr>
        <w:t xml:space="preserve"> </w:t>
      </w:r>
      <w:r>
        <w:rPr>
          <w:rFonts w:hint="eastAsia"/>
          <w:b/>
          <w:bCs/>
          <w:sz w:val="21"/>
          <w:szCs w:val="21"/>
        </w:rPr>
        <w:t>））</w:t>
      </w:r>
    </w:p>
    <w:p>
      <w:pPr>
        <w:snapToGrid w:val="0"/>
        <w:spacing w:line="360" w:lineRule="auto"/>
        <w:ind w:left="900"/>
        <w:rPr>
          <w:b/>
          <w:bCs/>
          <w:sz w:val="21"/>
          <w:szCs w:val="21"/>
        </w:rPr>
      </w:pPr>
      <w:r>
        <w:rPr>
          <w:b/>
          <w:bCs/>
          <w:sz w:val="21"/>
          <w:szCs w:val="21"/>
        </w:rPr>
        <w:t>n</w:t>
      </w:r>
      <w:r>
        <w:rPr>
          <w:rFonts w:hint="eastAsia"/>
          <w:b/>
          <w:bCs/>
          <w:sz w:val="21"/>
          <w:szCs w:val="21"/>
        </w:rPr>
        <w:t>：表示用户所要安装的多少条线（已知数）；</w:t>
      </w:r>
      <w:r>
        <w:rPr>
          <w:b/>
          <w:bCs/>
          <w:sz w:val="21"/>
          <w:szCs w:val="21"/>
        </w:rPr>
        <w:t xml:space="preserve"> </w:t>
      </w:r>
    </w:p>
    <w:p>
      <w:pPr>
        <w:snapToGrid w:val="0"/>
        <w:spacing w:line="360" w:lineRule="auto"/>
        <w:ind w:left="900"/>
        <w:rPr>
          <w:rFonts w:cs="Times New Roman"/>
          <w:b/>
          <w:bCs/>
          <w:sz w:val="21"/>
          <w:szCs w:val="21"/>
        </w:rPr>
      </w:pPr>
      <w:r>
        <w:rPr>
          <w:rFonts w:hint="eastAsia"/>
          <w:b/>
          <w:bCs/>
          <w:sz w:val="21"/>
          <w:szCs w:val="21"/>
        </w:rPr>
        <w:t>槽（管）截面积：表示要选择的槽管截面积</w:t>
      </w:r>
    </w:p>
    <w:p>
      <w:pPr>
        <w:snapToGrid w:val="0"/>
        <w:spacing w:line="360" w:lineRule="auto"/>
        <w:ind w:left="900"/>
        <w:rPr>
          <w:rFonts w:cs="Times New Roman"/>
          <w:b/>
          <w:bCs/>
          <w:sz w:val="21"/>
          <w:szCs w:val="21"/>
        </w:rPr>
      </w:pPr>
      <w:r>
        <w:rPr>
          <w:rFonts w:hint="eastAsia"/>
          <w:b/>
          <w:bCs/>
          <w:sz w:val="21"/>
          <w:szCs w:val="21"/>
        </w:rPr>
        <w:t>线缆截面积：表示选用的线缆面积</w:t>
      </w:r>
    </w:p>
    <w:p>
      <w:pPr>
        <w:snapToGrid w:val="0"/>
        <w:spacing w:line="360" w:lineRule="auto"/>
        <w:ind w:left="900"/>
        <w:rPr>
          <w:rFonts w:cs="Times New Roman"/>
          <w:b/>
          <w:bCs/>
          <w:sz w:val="21"/>
          <w:szCs w:val="21"/>
        </w:rPr>
      </w:pPr>
      <w:r>
        <w:rPr>
          <w:b/>
          <w:bCs/>
          <w:sz w:val="21"/>
          <w:szCs w:val="21"/>
        </w:rPr>
        <w:t>7 0</w:t>
      </w:r>
      <w:r>
        <w:rPr>
          <w:rFonts w:hint="eastAsia"/>
          <w:b/>
          <w:bCs/>
          <w:sz w:val="21"/>
          <w:szCs w:val="21"/>
        </w:rPr>
        <w:t>％：表示布线标准规定允许的空间；</w:t>
      </w:r>
    </w:p>
    <w:p>
      <w:pPr>
        <w:snapToGrid w:val="0"/>
        <w:spacing w:line="360" w:lineRule="auto"/>
        <w:ind w:left="900"/>
        <w:rPr>
          <w:rFonts w:cs="Times New Roman"/>
          <w:b/>
          <w:bCs/>
          <w:sz w:val="21"/>
          <w:szCs w:val="21"/>
        </w:rPr>
      </w:pPr>
      <w:r>
        <w:rPr>
          <w:b/>
          <w:bCs/>
          <w:sz w:val="21"/>
          <w:szCs w:val="21"/>
        </w:rPr>
        <w:t>40%-50%</w:t>
      </w:r>
      <w:r>
        <w:rPr>
          <w:rFonts w:hint="eastAsia"/>
          <w:b/>
          <w:bCs/>
          <w:sz w:val="21"/>
          <w:szCs w:val="21"/>
        </w:rPr>
        <w:t>：表示线缆之间浪费的空间</w:t>
      </w:r>
    </w:p>
    <w:p>
      <w:pPr>
        <w:snapToGrid w:val="0"/>
        <w:spacing w:line="360" w:lineRule="auto"/>
        <w:ind w:left="360" w:leftChars="150"/>
        <w:rPr>
          <w:rFonts w:cs="Times New Roman"/>
          <w:b/>
          <w:bCs/>
          <w:sz w:val="21"/>
          <w:szCs w:val="21"/>
        </w:rPr>
      </w:pPr>
      <w:r>
        <w:rPr>
          <w:rFonts w:hint="eastAsia"/>
          <w:b/>
          <w:bCs/>
          <w:sz w:val="21"/>
          <w:szCs w:val="21"/>
        </w:rPr>
        <w:t>以上计算方法的管槽按要求留有较多的余量空间，在实际工程中可根据具体情况也可适当多容纳一些线缆。</w:t>
      </w:r>
    </w:p>
    <w:p>
      <w:pPr>
        <w:snapToGrid w:val="0"/>
        <w:spacing w:line="360" w:lineRule="auto"/>
        <w:ind w:left="420" w:leftChars="175" w:firstLine="420" w:firstLineChars="200"/>
        <w:rPr>
          <w:rFonts w:cs="Times New Roman"/>
          <w:sz w:val="21"/>
          <w:szCs w:val="21"/>
          <w:lang w:eastAsia="zh-TW"/>
        </w:rPr>
      </w:pPr>
      <w:r>
        <w:rPr>
          <w:rFonts w:hint="eastAsia"/>
          <w:sz w:val="21"/>
          <w:szCs w:val="21"/>
        </w:rPr>
        <w:t>线槽的材料为冷轧合金板，表面可进行相应处理，如镀锌、喷塑、烤漆等，线槽可以根据情况选用不同的规格。为保证线缆的转弯半径，线槽需配以相应规格的分支配件，以提供线路路由的转弯自如。</w:t>
      </w:r>
    </w:p>
    <w:p>
      <w:pPr>
        <w:snapToGrid w:val="0"/>
        <w:spacing w:line="360" w:lineRule="auto"/>
        <w:ind w:left="420" w:leftChars="175" w:firstLine="420" w:firstLineChars="200"/>
        <w:rPr>
          <w:sz w:val="21"/>
          <w:szCs w:val="21"/>
        </w:rPr>
      </w:pPr>
      <w:r>
        <w:rPr>
          <w:rFonts w:hint="eastAsia"/>
          <w:sz w:val="21"/>
          <w:szCs w:val="21"/>
        </w:rPr>
        <w:t>为确保线路的安全，应使槽体有良好的接地端，金属线槽、金属软管、金属桥架及分配线机柜均需整体连接，然后接地，如不能确定信息出口准确位置，拉线时可先将线缆盘在吊顶内的出线口，待具体位置确定后，再引到信息出口。</w:t>
      </w:r>
    </w:p>
    <w:p>
      <w:pPr>
        <w:snapToGrid w:val="0"/>
        <w:spacing w:line="360" w:lineRule="auto"/>
        <w:ind w:left="420" w:leftChars="175" w:firstLine="420" w:firstLineChars="200"/>
        <w:rPr>
          <w:rFonts w:cs="Times New Roman"/>
          <w:sz w:val="21"/>
          <w:szCs w:val="21"/>
        </w:rPr>
      </w:pPr>
    </w:p>
    <w:p>
      <w:pPr>
        <w:pStyle w:val="3"/>
        <w:rPr>
          <w:color w:val="0000FF"/>
          <w:sz w:val="24"/>
          <w:szCs w:val="24"/>
        </w:rPr>
      </w:pPr>
      <w:bookmarkStart w:id="116" w:name="_Toc296880501"/>
      <w:bookmarkStart w:id="117" w:name="_Toc279683687"/>
      <w:bookmarkStart w:id="118" w:name="_Toc279758076"/>
      <w:bookmarkStart w:id="119" w:name="_Toc18359"/>
      <w:r>
        <w:rPr>
          <w:rFonts w:hint="eastAsia"/>
          <w:color w:val="0000FF"/>
          <w:sz w:val="24"/>
          <w:szCs w:val="24"/>
          <w:lang w:val="en-US" w:eastAsia="zh-CN"/>
        </w:rPr>
        <w:t>4.4</w:t>
      </w:r>
      <w:r>
        <w:rPr>
          <w:color w:val="0000FF"/>
          <w:sz w:val="24"/>
          <w:szCs w:val="24"/>
        </w:rPr>
        <w:t xml:space="preserve">  </w:t>
      </w:r>
      <w:r>
        <w:rPr>
          <w:rFonts w:hint="eastAsia" w:cs="宋体"/>
          <w:color w:val="0000FF"/>
          <w:sz w:val="24"/>
          <w:szCs w:val="24"/>
        </w:rPr>
        <w:t>建筑群子系统安装</w:t>
      </w:r>
      <w:bookmarkEnd w:id="116"/>
      <w:bookmarkEnd w:id="117"/>
      <w:bookmarkEnd w:id="118"/>
      <w:bookmarkEnd w:id="119"/>
    </w:p>
    <w:p>
      <w:pPr>
        <w:pStyle w:val="9"/>
        <w:rPr>
          <w:lang w:eastAsia="zh-TW"/>
        </w:rPr>
      </w:pPr>
      <w:r>
        <w:rPr>
          <w:rFonts w:hint="eastAsia" w:cs="宋体"/>
        </w:rPr>
        <w:t>建筑群子系统通常涉及两幢上的建筑，其布线距离通常在</w:t>
      </w:r>
      <w:r>
        <w:t>3KM</w:t>
      </w:r>
      <w:r>
        <w:rPr>
          <w:rFonts w:hint="eastAsia" w:cs="宋体"/>
        </w:rPr>
        <w:t>以内。在建筑群子系统中不仅要考虑同一建筑内各楼层及各房间的线缆敷设，还应该考虑不同楼宇之间连接问题并同时应照顾到各建筑内部原有的网络接入。</w:t>
      </w:r>
    </w:p>
    <w:p>
      <w:pPr>
        <w:pStyle w:val="9"/>
        <w:rPr>
          <w:lang w:eastAsia="zh-TW"/>
        </w:rPr>
      </w:pPr>
      <w:r>
        <w:rPr>
          <w:rFonts w:hint="eastAsia" w:cs="宋体"/>
        </w:rPr>
        <w:t>在建设群子系统的设计中首先应当考虑的是建筑连接与入口，无论是架空走线还是直埋走线，线缆路的起点和终点几乎与建筑相连的。这些线路相互之间必须保持隔离以免与人、车辆及供电服务线路发生接触。</w:t>
      </w:r>
    </w:p>
    <w:p>
      <w:pPr>
        <w:pStyle w:val="9"/>
        <w:rPr>
          <w:rFonts w:cs="宋体"/>
        </w:rPr>
      </w:pPr>
      <w:r>
        <w:rPr>
          <w:rFonts w:hint="eastAsia" w:cs="宋体"/>
        </w:rPr>
        <w:t>建筑群子系统常用的敷设方式为架空、直埋、线缆沟。</w:t>
      </w:r>
    </w:p>
    <w:p>
      <w:pPr>
        <w:pStyle w:val="9"/>
        <w:rPr>
          <w:lang w:eastAsia="zh-TW"/>
        </w:rPr>
      </w:pPr>
    </w:p>
    <w:p>
      <w:pPr>
        <w:pStyle w:val="3"/>
        <w:rPr>
          <w:color w:val="0000FF"/>
          <w:sz w:val="24"/>
          <w:szCs w:val="24"/>
        </w:rPr>
      </w:pPr>
      <w:bookmarkStart w:id="120" w:name="_Toc32485"/>
      <w:bookmarkStart w:id="121" w:name="_Toc279683688"/>
      <w:bookmarkStart w:id="122" w:name="_Toc296880502"/>
      <w:bookmarkStart w:id="123" w:name="_Toc279758077"/>
      <w:r>
        <w:rPr>
          <w:rFonts w:hint="eastAsia"/>
          <w:color w:val="0000FF"/>
          <w:sz w:val="24"/>
          <w:szCs w:val="24"/>
          <w:lang w:val="en-US" w:eastAsia="zh-CN"/>
        </w:rPr>
        <w:t>4.5</w:t>
      </w:r>
      <w:r>
        <w:rPr>
          <w:color w:val="0000FF"/>
          <w:sz w:val="24"/>
          <w:szCs w:val="24"/>
        </w:rPr>
        <w:t xml:space="preserve">  </w:t>
      </w:r>
      <w:r>
        <w:rPr>
          <w:rFonts w:hint="eastAsia" w:cs="宋体"/>
          <w:color w:val="0000FF"/>
          <w:sz w:val="24"/>
          <w:szCs w:val="24"/>
        </w:rPr>
        <w:t>配线架附近的环境要求</w:t>
      </w:r>
      <w:bookmarkEnd w:id="120"/>
      <w:bookmarkEnd w:id="121"/>
      <w:bookmarkEnd w:id="122"/>
      <w:bookmarkEnd w:id="123"/>
    </w:p>
    <w:p>
      <w:pPr>
        <w:pStyle w:val="9"/>
      </w:pPr>
      <w:r>
        <w:rPr>
          <w:rFonts w:hint="eastAsia" w:cs="宋体"/>
        </w:rPr>
        <w:t>由于配线架使用管理子系统，因此它是整个布线系统的核心。它的布局、选型及环境条件的考虑是否恰当，都直接影响到将来信息系统的正常运行及维护、使用的灵活性。在此，将对此提出以下建议：</w:t>
      </w:r>
    </w:p>
    <w:p>
      <w:pPr>
        <w:widowControl/>
        <w:numPr>
          <w:ilvl w:val="0"/>
          <w:numId w:val="5"/>
        </w:numPr>
        <w:spacing w:line="360" w:lineRule="auto"/>
        <w:jc w:val="left"/>
        <w:rPr>
          <w:sz w:val="21"/>
          <w:szCs w:val="21"/>
        </w:rPr>
      </w:pPr>
      <w:r>
        <w:rPr>
          <w:rFonts w:hint="eastAsia"/>
          <w:sz w:val="21"/>
          <w:szCs w:val="21"/>
        </w:rPr>
        <w:t>室内照明不低于</w:t>
      </w:r>
      <w:r>
        <w:rPr>
          <w:sz w:val="21"/>
          <w:szCs w:val="21"/>
        </w:rPr>
        <w:t>150Lx</w:t>
      </w:r>
      <w:r>
        <w:rPr>
          <w:rFonts w:hint="eastAsia"/>
          <w:sz w:val="21"/>
          <w:szCs w:val="21"/>
        </w:rPr>
        <w:t>；</w:t>
      </w:r>
    </w:p>
    <w:p>
      <w:pPr>
        <w:widowControl/>
        <w:numPr>
          <w:ilvl w:val="0"/>
          <w:numId w:val="5"/>
        </w:numPr>
        <w:spacing w:line="360" w:lineRule="auto"/>
        <w:jc w:val="left"/>
        <w:rPr>
          <w:sz w:val="21"/>
          <w:szCs w:val="21"/>
        </w:rPr>
      </w:pPr>
      <w:r>
        <w:rPr>
          <w:rFonts w:hint="eastAsia"/>
          <w:sz w:val="21"/>
          <w:szCs w:val="21"/>
        </w:rPr>
        <w:t>系统是无源布线系统，本身不需要电源。但为了保证在安装、测试及今后维护时可能使用电源，建议安装若干电源插座，每一个电源插座容量不小于</w:t>
      </w:r>
      <w:r>
        <w:rPr>
          <w:sz w:val="21"/>
          <w:szCs w:val="21"/>
        </w:rPr>
        <w:t>300W</w:t>
      </w:r>
      <w:r>
        <w:rPr>
          <w:rFonts w:hint="eastAsia"/>
          <w:sz w:val="21"/>
          <w:szCs w:val="21"/>
        </w:rPr>
        <w:t>。</w:t>
      </w:r>
    </w:p>
    <w:p>
      <w:pPr>
        <w:widowControl/>
        <w:numPr>
          <w:ilvl w:val="0"/>
          <w:numId w:val="5"/>
        </w:numPr>
        <w:spacing w:line="360" w:lineRule="auto"/>
        <w:jc w:val="left"/>
        <w:rPr>
          <w:sz w:val="21"/>
          <w:szCs w:val="21"/>
        </w:rPr>
      </w:pPr>
      <w:r>
        <w:rPr>
          <w:rFonts w:hint="eastAsia"/>
          <w:sz w:val="21"/>
          <w:szCs w:val="21"/>
        </w:rPr>
        <w:t>根据该楼层上网络设备对电源的实际需求，配备能够满足使用需要的电源系统（包括</w:t>
      </w:r>
      <w:r>
        <w:rPr>
          <w:sz w:val="21"/>
          <w:szCs w:val="21"/>
        </w:rPr>
        <w:t>UPS</w:t>
      </w:r>
      <w:r>
        <w:rPr>
          <w:rFonts w:hint="eastAsia"/>
          <w:sz w:val="21"/>
          <w:szCs w:val="21"/>
        </w:rPr>
        <w:t>系统）；</w:t>
      </w:r>
    </w:p>
    <w:p>
      <w:pPr>
        <w:widowControl/>
        <w:numPr>
          <w:ilvl w:val="0"/>
          <w:numId w:val="5"/>
        </w:numPr>
        <w:spacing w:line="360" w:lineRule="auto"/>
        <w:jc w:val="left"/>
        <w:rPr>
          <w:sz w:val="21"/>
          <w:szCs w:val="21"/>
        </w:rPr>
      </w:pPr>
      <w:r>
        <w:rPr>
          <w:rFonts w:hint="eastAsia"/>
          <w:sz w:val="21"/>
          <w:szCs w:val="21"/>
        </w:rPr>
        <w:t>配线架应尽量靠近弱电竖井，以方便布线并节省投资；</w:t>
      </w:r>
    </w:p>
    <w:p>
      <w:pPr>
        <w:widowControl/>
        <w:numPr>
          <w:ilvl w:val="0"/>
          <w:numId w:val="5"/>
        </w:numPr>
        <w:spacing w:line="360" w:lineRule="auto"/>
        <w:jc w:val="left"/>
        <w:rPr>
          <w:sz w:val="21"/>
          <w:szCs w:val="21"/>
        </w:rPr>
      </w:pPr>
      <w:r>
        <w:rPr>
          <w:rFonts w:hint="eastAsia"/>
          <w:sz w:val="21"/>
          <w:szCs w:val="21"/>
        </w:rPr>
        <w:t>配线架旁网络设备所在地的环境工作温度应保持在</w:t>
      </w:r>
      <w:r>
        <w:rPr>
          <w:sz w:val="21"/>
          <w:szCs w:val="21"/>
        </w:rPr>
        <w:t>18-27</w:t>
      </w:r>
      <w:r>
        <w:rPr>
          <w:rFonts w:hint="eastAsia"/>
          <w:sz w:val="21"/>
          <w:szCs w:val="21"/>
        </w:rPr>
        <w:t>℃之间；</w:t>
      </w:r>
    </w:p>
    <w:p>
      <w:pPr>
        <w:widowControl/>
        <w:numPr>
          <w:ilvl w:val="0"/>
          <w:numId w:val="5"/>
        </w:numPr>
        <w:spacing w:line="360" w:lineRule="auto"/>
        <w:jc w:val="left"/>
        <w:rPr>
          <w:sz w:val="21"/>
          <w:szCs w:val="21"/>
        </w:rPr>
      </w:pPr>
      <w:r>
        <w:rPr>
          <w:rFonts w:hint="eastAsia"/>
          <w:sz w:val="21"/>
          <w:szCs w:val="21"/>
        </w:rPr>
        <w:t>配线架旁的湿度应保持在</w:t>
      </w:r>
      <w:r>
        <w:rPr>
          <w:sz w:val="21"/>
          <w:szCs w:val="21"/>
        </w:rPr>
        <w:t>30%-50%</w:t>
      </w:r>
      <w:r>
        <w:rPr>
          <w:rFonts w:hint="eastAsia"/>
          <w:sz w:val="21"/>
          <w:szCs w:val="21"/>
        </w:rPr>
        <w:t>之间；</w:t>
      </w:r>
    </w:p>
    <w:p>
      <w:pPr>
        <w:widowControl/>
        <w:numPr>
          <w:ilvl w:val="0"/>
          <w:numId w:val="5"/>
        </w:numPr>
        <w:spacing w:line="360" w:lineRule="auto"/>
        <w:jc w:val="left"/>
        <w:rPr>
          <w:sz w:val="21"/>
          <w:szCs w:val="21"/>
        </w:rPr>
      </w:pPr>
      <w:r>
        <w:rPr>
          <w:rFonts w:hint="eastAsia"/>
          <w:sz w:val="21"/>
          <w:szCs w:val="21"/>
        </w:rPr>
        <w:t>为确保配线架上各种插座工作性能良好，要求配线间内具有良好的通风，并做到室内无尘；</w:t>
      </w:r>
    </w:p>
    <w:p>
      <w:pPr>
        <w:widowControl/>
        <w:numPr>
          <w:ilvl w:val="0"/>
          <w:numId w:val="5"/>
        </w:numPr>
        <w:spacing w:line="360" w:lineRule="auto"/>
        <w:jc w:val="left"/>
        <w:rPr>
          <w:sz w:val="21"/>
          <w:szCs w:val="21"/>
        </w:rPr>
      </w:pPr>
      <w:r>
        <w:rPr>
          <w:rFonts w:hint="eastAsia"/>
          <w:sz w:val="21"/>
          <w:szCs w:val="21"/>
        </w:rPr>
        <w:t>为施工及维护方便，建议楼层配线间的尺寸大于</w:t>
      </w:r>
      <w:r>
        <w:rPr>
          <w:sz w:val="21"/>
          <w:szCs w:val="21"/>
        </w:rPr>
        <w:t>10</w:t>
      </w:r>
      <w:r>
        <w:rPr>
          <w:rFonts w:hint="eastAsia"/>
          <w:sz w:val="21"/>
          <w:szCs w:val="21"/>
        </w:rPr>
        <w:t>平方米</w:t>
      </w:r>
      <w:r>
        <w:rPr>
          <w:sz w:val="21"/>
          <w:szCs w:val="21"/>
        </w:rPr>
        <w:t>(</w:t>
      </w:r>
      <w:r>
        <w:rPr>
          <w:rFonts w:hint="eastAsia"/>
          <w:sz w:val="21"/>
          <w:szCs w:val="21"/>
        </w:rPr>
        <w:t>布线系统</w:t>
      </w:r>
      <w:r>
        <w:rPr>
          <w:sz w:val="21"/>
          <w:szCs w:val="21"/>
        </w:rPr>
        <w:t>)</w:t>
      </w:r>
      <w:r>
        <w:rPr>
          <w:rFonts w:hint="eastAsia"/>
          <w:sz w:val="21"/>
          <w:szCs w:val="21"/>
        </w:rPr>
        <w:t>。</w:t>
      </w:r>
    </w:p>
    <w:p>
      <w:pPr>
        <w:widowControl/>
        <w:spacing w:line="360" w:lineRule="auto"/>
        <w:ind w:left="420"/>
        <w:jc w:val="left"/>
        <w:rPr>
          <w:sz w:val="21"/>
          <w:szCs w:val="21"/>
        </w:rPr>
      </w:pPr>
    </w:p>
    <w:p>
      <w:pPr>
        <w:pStyle w:val="3"/>
        <w:rPr>
          <w:rFonts w:cs="Times New Roman"/>
          <w:color w:val="0000FF"/>
          <w:sz w:val="24"/>
          <w:szCs w:val="24"/>
        </w:rPr>
      </w:pPr>
      <w:bookmarkStart w:id="124" w:name="_Toc279683689"/>
      <w:bookmarkStart w:id="125" w:name="_Toc279758078"/>
      <w:bookmarkStart w:id="126" w:name="_Toc14378"/>
      <w:bookmarkStart w:id="127" w:name="_Toc296880503"/>
      <w:r>
        <w:rPr>
          <w:rFonts w:hint="eastAsia"/>
          <w:color w:val="0000FF"/>
          <w:sz w:val="24"/>
          <w:szCs w:val="24"/>
          <w:lang w:val="en-US" w:eastAsia="zh-CN"/>
        </w:rPr>
        <w:t>4.6</w:t>
      </w:r>
      <w:r>
        <w:rPr>
          <w:rFonts w:hint="eastAsia" w:cs="宋体"/>
          <w:color w:val="0000FF"/>
          <w:sz w:val="24"/>
          <w:szCs w:val="24"/>
        </w:rPr>
        <w:t>接地和防雷</w:t>
      </w:r>
      <w:bookmarkEnd w:id="124"/>
      <w:bookmarkEnd w:id="125"/>
      <w:bookmarkEnd w:id="126"/>
      <w:bookmarkEnd w:id="127"/>
    </w:p>
    <w:p>
      <w:pPr>
        <w:pStyle w:val="9"/>
        <w:ind w:firstLine="480"/>
      </w:pPr>
      <w:r>
        <w:rPr>
          <w:sz w:val="24"/>
          <w:szCs w:val="24"/>
        </w:rPr>
        <w:t xml:space="preserve"> </w:t>
      </w:r>
      <w:r>
        <w:rPr>
          <w:rFonts w:hint="eastAsia" w:cs="宋体"/>
        </w:rPr>
        <w:t>所谓接地，简单说来就是各种设备与大地的电气连接。接地的目的是为了使设备正常和安全的运行，以及建筑物和人身的安全，对计算机和通信系统而言，主要是电子设备的信号接地、计算机专用交流地。</w:t>
      </w:r>
    </w:p>
    <w:p>
      <w:pPr>
        <w:pStyle w:val="9"/>
      </w:pPr>
      <w:r>
        <w:rPr>
          <w:rFonts w:hint="eastAsia" w:cs="宋体"/>
        </w:rPr>
        <w:t>良好的接地系统是保证数据安全可靠的传输中必不可少的重要一环，良好的布线系统对接地有严格的要求和规定：</w:t>
      </w:r>
    </w:p>
    <w:p>
      <w:pPr>
        <w:widowControl/>
        <w:numPr>
          <w:ilvl w:val="0"/>
          <w:numId w:val="5"/>
        </w:numPr>
        <w:spacing w:line="360" w:lineRule="auto"/>
        <w:jc w:val="left"/>
        <w:rPr>
          <w:sz w:val="21"/>
          <w:szCs w:val="21"/>
        </w:rPr>
      </w:pPr>
      <w:r>
        <w:rPr>
          <w:rFonts w:hint="eastAsia"/>
          <w:sz w:val="21"/>
          <w:szCs w:val="21"/>
        </w:rPr>
        <w:t>从楼层配线架至接地极接地导线的直流电阻不超过</w:t>
      </w:r>
      <w:r>
        <w:rPr>
          <w:sz w:val="21"/>
          <w:szCs w:val="21"/>
        </w:rPr>
        <w:t>1</w:t>
      </w:r>
      <w:r>
        <w:rPr>
          <w:rFonts w:hint="eastAsia"/>
          <w:sz w:val="21"/>
          <w:szCs w:val="21"/>
        </w:rPr>
        <w:t>欧姆，并且要永久性的保持其连通。</w:t>
      </w:r>
    </w:p>
    <w:p>
      <w:pPr>
        <w:widowControl/>
        <w:numPr>
          <w:ilvl w:val="0"/>
          <w:numId w:val="5"/>
        </w:numPr>
        <w:spacing w:line="360" w:lineRule="auto"/>
        <w:jc w:val="left"/>
        <w:rPr>
          <w:sz w:val="21"/>
          <w:szCs w:val="21"/>
        </w:rPr>
      </w:pPr>
      <w:r>
        <w:rPr>
          <w:rFonts w:hint="eastAsia"/>
          <w:sz w:val="21"/>
          <w:szCs w:val="21"/>
        </w:rPr>
        <w:t>如果网络系统内有数个不同的地极，这些地极要相互连接，以减少地极之间的电位差。</w:t>
      </w:r>
    </w:p>
    <w:p>
      <w:pPr>
        <w:widowControl/>
        <w:numPr>
          <w:ilvl w:val="0"/>
          <w:numId w:val="5"/>
        </w:numPr>
        <w:spacing w:line="360" w:lineRule="auto"/>
        <w:jc w:val="left"/>
        <w:rPr>
          <w:sz w:val="21"/>
          <w:szCs w:val="21"/>
        </w:rPr>
      </w:pPr>
      <w:r>
        <w:rPr>
          <w:rFonts w:hint="eastAsia"/>
          <w:sz w:val="21"/>
          <w:szCs w:val="21"/>
        </w:rPr>
        <w:t>布线的金属线槽和管道应该接地以减少阻抗。</w:t>
      </w:r>
    </w:p>
    <w:p>
      <w:pPr>
        <w:widowControl/>
        <w:numPr>
          <w:ilvl w:val="0"/>
          <w:numId w:val="5"/>
        </w:numPr>
        <w:spacing w:line="360" w:lineRule="auto"/>
        <w:jc w:val="left"/>
        <w:rPr>
          <w:sz w:val="21"/>
          <w:szCs w:val="21"/>
        </w:rPr>
      </w:pPr>
      <w:r>
        <w:rPr>
          <w:rFonts w:hint="eastAsia"/>
          <w:sz w:val="21"/>
          <w:szCs w:val="21"/>
        </w:rPr>
        <w:t>机柜或机架应当良好接地。</w:t>
      </w:r>
    </w:p>
    <w:p>
      <w:pPr>
        <w:pStyle w:val="9"/>
      </w:pPr>
      <w:r>
        <w:rPr>
          <w:rFonts w:hint="eastAsia" w:cs="宋体"/>
        </w:rPr>
        <w:t>同时，对通信电缆和光缆的进出线，为了考虑防雷，要在进出端将电缆的金属外皮、钢管等与电气设备接地相连，并加装防雷保护装置。</w:t>
      </w:r>
    </w:p>
    <w:p>
      <w:pPr>
        <w:pStyle w:val="9"/>
      </w:pPr>
      <w:r>
        <w:t xml:space="preserve"> </w:t>
      </w:r>
      <w:r>
        <w:rPr>
          <w:b/>
        </w:rPr>
        <w:t>(1)</w:t>
      </w:r>
      <w:r>
        <w:rPr>
          <w:rFonts w:hint="eastAsia" w:cs="宋体"/>
          <w:b/>
        </w:rPr>
        <w:t>建筑群子系统：</w:t>
      </w:r>
      <w:r>
        <w:rPr>
          <w:rFonts w:hint="eastAsia" w:cs="宋体"/>
        </w:rPr>
        <w:t>由连接两个及以上建筑物之间的缆线和配线设备组成。若采用光缆作为建筑物间网络连接介质，不需要安装避雷器，甚至可以架空铺设。若采用双绞线，则必须穿管埋地敷设。进入建筑后，采用双绞线敷设时，导线必须单独敷设在弱电金属桥架或金属管道内。金属桥架和金属管道与综合接地系统良好连接，充当导线的屏蔽层，不能与强电导线共享强电金属桥架或强电金属管道。</w:t>
      </w:r>
    </w:p>
    <w:p>
      <w:pPr>
        <w:pStyle w:val="9"/>
        <w:ind w:firstLine="422"/>
      </w:pPr>
      <w:r>
        <w:rPr>
          <w:b/>
        </w:rPr>
        <w:t>(2)</w:t>
      </w:r>
      <w:r>
        <w:rPr>
          <w:rFonts w:hint="eastAsia" w:cs="宋体"/>
          <w:b/>
        </w:rPr>
        <w:t>设备间子系统：</w:t>
      </w:r>
      <w:r>
        <w:rPr>
          <w:rFonts w:hint="eastAsia" w:cs="宋体"/>
        </w:rPr>
        <w:t>由进线设备，程控交换机、计算机等各种主机设备及其配线设备组成。它是布线系统最主要的管理区域，通常分为语音管理和数字管理两部分。语音设备管理区子系统连接大楼外的各种线路，经与垂直干线子系统跳接后，连通各语音管理子系统，为防雷电破坏应安装通信避雷柜作为通信线路的第一级防雷措施。连接进出大楼的大对数通信电缆必须埋地敷设，以防进出大楼的通信线路引人的感应雷。数据设备管理子系统即是计算机网络核心设备，是采用大对数双绞电缆作为传输主干缆。需要在机柜中安装计算机网络防雷器，作为计算机网络的第一级防雷措施。若采用光缆作为计算机网络主干线，则绝对避免了雷电影响，是最好的防雷措施。</w:t>
      </w:r>
    </w:p>
    <w:p>
      <w:pPr>
        <w:pStyle w:val="9"/>
        <w:ind w:firstLine="422"/>
      </w:pPr>
      <w:r>
        <w:rPr>
          <w:b/>
        </w:rPr>
        <w:t>(3)</w:t>
      </w:r>
      <w:r>
        <w:rPr>
          <w:rFonts w:hint="eastAsia" w:cs="宋体"/>
          <w:b/>
        </w:rPr>
        <w:t>管理子系统：</w:t>
      </w:r>
      <w:r>
        <w:rPr>
          <w:rFonts w:hint="eastAsia" w:cs="宋体"/>
        </w:rPr>
        <w:t>设置在各层配线间，由配线设备、输入／输出设备等组成。管理子系统也分为数据和语音两部分。语音部分采用</w:t>
      </w:r>
      <w:r>
        <w:t>BIX</w:t>
      </w:r>
      <w:r>
        <w:rPr>
          <w:rFonts w:hint="eastAsia" w:cs="宋体"/>
        </w:rPr>
        <w:t>安装架固定在墙面上。由接线板，绕线环等组成，需要安装信号避雷器作为通信线路的第二级防雷措施。数据部分采用双绞线作为垂直主干线，也需要在机柜中安装信号避雷器作为计算机网络的第二级防雷措施，防护由于引下线泄放雷电流而形成的电磁场突变所产生的感应雷。</w:t>
      </w:r>
    </w:p>
    <w:p>
      <w:pPr>
        <w:pStyle w:val="9"/>
        <w:ind w:firstLine="422"/>
      </w:pPr>
      <w:r>
        <w:rPr>
          <w:b/>
        </w:rPr>
        <w:t>(4)</w:t>
      </w:r>
      <w:r>
        <w:rPr>
          <w:rFonts w:hint="eastAsia" w:cs="宋体"/>
          <w:b/>
        </w:rPr>
        <w:t>垂直干线子系统：</w:t>
      </w:r>
      <w:r>
        <w:rPr>
          <w:rFonts w:hint="eastAsia" w:cs="宋体"/>
        </w:rPr>
        <w:t>由设备间的配线设备和跳线设备以及设备间至各楼层配线间的连接电缆组成。分为语音主干线和数据主干线两部分。语音主干线按照程控交换机和电信系统的标准和做法，采用屏蔽大对数双绞电缆，因为已在管理区子系统安装了信号避雷器，所以这部分一般不需要再装防雷设备。数据主干线如采用大对数双绞电缆作为数据传输主干缆，因为已在管理区子系统安装了信号避雷器，所以一般也不需要在这部分再安装防雷设备。如采用光缆作为计算机网络主干线，则绝对避免了由于引下线泄放雷电流而形成的电磁场突变产生的感应雷，是最好的防雷措施。</w:t>
      </w:r>
    </w:p>
    <w:p>
      <w:pPr>
        <w:pStyle w:val="9"/>
        <w:ind w:firstLine="422"/>
      </w:pPr>
      <w:r>
        <w:rPr>
          <w:b/>
        </w:rPr>
        <w:t>(5)</w:t>
      </w:r>
      <w:r>
        <w:rPr>
          <w:rFonts w:hint="eastAsia" w:cs="宋体"/>
          <w:b/>
        </w:rPr>
        <w:t>水平干线子系统</w:t>
      </w:r>
      <w:r>
        <w:rPr>
          <w:rFonts w:hint="eastAsia"/>
          <w:b/>
        </w:rPr>
        <w:t>：</w:t>
      </w:r>
      <w:r>
        <w:rPr>
          <w:rFonts w:hint="eastAsia" w:cs="宋体"/>
        </w:rPr>
        <w:t>由连接管理子系统至工作区子系统的水平布线及信息插座组成。数据点和语音点均采用双绞线敷设在金属桥架和金属管道内。由于金属桥架和金属管道与综合接地系统相连，形成了信号线路的屏蔽层。并且在管理子系统中，已设置防雷保护装置，所以在水平干线子系统中不必再加装防雷装置。</w:t>
      </w:r>
    </w:p>
    <w:p>
      <w:pPr>
        <w:pStyle w:val="9"/>
        <w:ind w:firstLine="422"/>
        <w:rPr>
          <w:sz w:val="24"/>
          <w:szCs w:val="24"/>
        </w:rPr>
      </w:pPr>
      <w:r>
        <w:rPr>
          <w:b/>
        </w:rPr>
        <w:t>(6)</w:t>
      </w:r>
      <w:r>
        <w:rPr>
          <w:rFonts w:hint="eastAsia" w:cs="宋体"/>
          <w:b/>
        </w:rPr>
        <w:t>工作区子系统：</w:t>
      </w:r>
      <w:r>
        <w:rPr>
          <w:rFonts w:hint="eastAsia" w:cs="宋体"/>
        </w:rPr>
        <w:t>由连接在信息插座上的各种设备组成。连接计算机网络的数据点由于在管理子系统中已采取了防雷措施，所以在工作区子系统一般不需要再加装防雷设施，若需要利用调制解调器通过语音点连接计算机，由于语音线路与外线连接，则有必要安装信号避雷器，作为末级防雷措施。</w:t>
      </w:r>
    </w:p>
    <w:p>
      <w:pPr>
        <w:rPr>
          <w:rFonts w:cs="Times New Roman"/>
        </w:rPr>
      </w:pPr>
    </w:p>
    <w:p>
      <w:pPr>
        <w:rPr>
          <w:rFonts w:cs="Times New Roman"/>
        </w:rPr>
      </w:pPr>
    </w:p>
    <w:p>
      <w:pPr>
        <w:rPr>
          <w:rFonts w:cs="Times New Roman"/>
          <w:sz w:val="21"/>
          <w:szCs w:val="21"/>
        </w:rPr>
      </w:pPr>
      <w:bookmarkStart w:id="128" w:name="_Toc296880504"/>
      <w:r>
        <w:t xml:space="preserve">    </w:t>
      </w:r>
      <w:bookmarkEnd w:id="128"/>
    </w:p>
    <w:p>
      <w:pPr>
        <w:pStyle w:val="2"/>
      </w:pPr>
      <w:bookmarkStart w:id="129" w:name="_Toc296880506"/>
      <w:bookmarkStart w:id="130" w:name="_Toc296722098"/>
      <w:bookmarkStart w:id="131" w:name="_Toc14940"/>
      <w:r>
        <w:rPr>
          <w:rFonts w:hint="eastAsia"/>
        </w:rPr>
        <w:t>第</w:t>
      </w:r>
      <w:r>
        <w:rPr>
          <w:rFonts w:hint="eastAsia"/>
          <w:lang w:eastAsia="zh-CN"/>
        </w:rPr>
        <w:t>五</w:t>
      </w:r>
      <w:r>
        <w:rPr>
          <w:rFonts w:hint="eastAsia"/>
        </w:rPr>
        <w:t>章</w:t>
      </w:r>
      <w:r>
        <w:t xml:space="preserve">  </w:t>
      </w:r>
      <w:bookmarkStart w:id="132" w:name="_Toc285641342"/>
      <w:r>
        <w:rPr>
          <w:rFonts w:hint="eastAsia"/>
        </w:rPr>
        <w:t>综合布线产品售后服务</w:t>
      </w:r>
      <w:bookmarkEnd w:id="129"/>
      <w:bookmarkEnd w:id="130"/>
      <w:bookmarkEnd w:id="131"/>
      <w:bookmarkEnd w:id="132"/>
    </w:p>
    <w:p>
      <w:pPr/>
    </w:p>
    <w:p>
      <w:pPr>
        <w:pStyle w:val="3"/>
        <w:rPr>
          <w:rFonts w:cs="Times New Roman"/>
          <w:color w:val="0000FF"/>
          <w:sz w:val="24"/>
          <w:szCs w:val="24"/>
        </w:rPr>
      </w:pPr>
      <w:bookmarkStart w:id="133" w:name="_Toc285641343"/>
      <w:bookmarkStart w:id="134" w:name="_Toc236395635"/>
      <w:bookmarkStart w:id="135" w:name="_Toc296722099"/>
      <w:bookmarkStart w:id="136" w:name="_Toc296880507"/>
      <w:bookmarkStart w:id="137" w:name="_Toc2677"/>
      <w:r>
        <w:rPr>
          <w:rFonts w:hint="eastAsia"/>
          <w:color w:val="0000FF"/>
          <w:sz w:val="24"/>
          <w:szCs w:val="24"/>
          <w:lang w:val="en-US" w:eastAsia="zh-CN"/>
        </w:rPr>
        <w:t>5.1</w:t>
      </w:r>
      <w:r>
        <w:rPr>
          <w:color w:val="0000FF"/>
          <w:sz w:val="24"/>
          <w:szCs w:val="24"/>
        </w:rPr>
        <w:t xml:space="preserve"> </w:t>
      </w:r>
      <w:bookmarkStart w:id="138" w:name="_Toc285641345"/>
      <w:bookmarkStart w:id="139" w:name="_Toc236395637"/>
      <w:bookmarkEnd w:id="133"/>
      <w:bookmarkEnd w:id="134"/>
      <w:r>
        <w:rPr>
          <w:color w:val="0000FF"/>
          <w:sz w:val="24"/>
          <w:szCs w:val="24"/>
        </w:rPr>
        <w:t xml:space="preserve"> </w:t>
      </w:r>
      <w:r>
        <w:rPr>
          <w:rFonts w:hint="eastAsia" w:cs="宋体"/>
          <w:color w:val="0000FF"/>
          <w:sz w:val="24"/>
          <w:szCs w:val="24"/>
        </w:rPr>
        <w:t>售后维修</w:t>
      </w:r>
      <w:r>
        <w:rPr>
          <w:color w:val="0000FF"/>
          <w:sz w:val="24"/>
          <w:szCs w:val="24"/>
        </w:rPr>
        <w:t>/</w:t>
      </w:r>
      <w:r>
        <w:rPr>
          <w:rFonts w:hint="eastAsia" w:cs="宋体"/>
          <w:color w:val="0000FF"/>
          <w:sz w:val="24"/>
          <w:szCs w:val="24"/>
        </w:rPr>
        <w:t>服务点名称、电话，负责人员及地址</w:t>
      </w:r>
      <w:bookmarkEnd w:id="135"/>
      <w:bookmarkEnd w:id="136"/>
      <w:bookmarkEnd w:id="137"/>
      <w:bookmarkEnd w:id="138"/>
      <w:bookmarkEnd w:id="139"/>
    </w:p>
    <w:p>
      <w:pPr>
        <w:ind w:firstLine="480"/>
        <w:rPr>
          <w:rFonts w:cs="Times New Roman"/>
          <w:kern w:val="0"/>
        </w:rPr>
      </w:pPr>
      <w:r>
        <w:rPr>
          <w:kern w:val="0"/>
        </w:rPr>
        <w:t>1</w:t>
      </w:r>
      <w:r>
        <w:rPr>
          <w:rFonts w:hint="eastAsia"/>
          <w:kern w:val="0"/>
        </w:rPr>
        <w:t>、服务电话：</w:t>
      </w:r>
      <w:r>
        <w:rPr>
          <w:b/>
          <w:bCs/>
          <w:color w:val="FF0000"/>
          <w:kern w:val="0"/>
          <w:sz w:val="32"/>
          <w:szCs w:val="32"/>
        </w:rPr>
        <w:t xml:space="preserve"> 400-600-4083 </w:t>
      </w:r>
      <w:r>
        <w:rPr>
          <w:kern w:val="0"/>
        </w:rPr>
        <w:t xml:space="preserve">   </w:t>
      </w:r>
    </w:p>
    <w:p>
      <w:pPr>
        <w:ind w:firstLine="2160" w:firstLineChars="900"/>
        <w:rPr>
          <w:rFonts w:cs="Times New Roman"/>
          <w:kern w:val="0"/>
        </w:rPr>
      </w:pPr>
      <w:r>
        <w:rPr>
          <w:kern w:val="0"/>
        </w:rPr>
        <w:t>020-23380701</w:t>
      </w:r>
      <w:r>
        <w:rPr>
          <w:rFonts w:hint="eastAsia"/>
          <w:kern w:val="0"/>
        </w:rPr>
        <w:t>（传真）</w:t>
      </w:r>
    </w:p>
    <w:p>
      <w:pPr>
        <w:ind w:firstLine="480"/>
        <w:rPr>
          <w:rFonts w:cs="Times New Roman"/>
          <w:kern w:val="0"/>
        </w:rPr>
      </w:pPr>
      <w:r>
        <w:rPr>
          <w:kern w:val="0"/>
        </w:rPr>
        <w:t>2</w:t>
      </w:r>
      <w:r>
        <w:rPr>
          <w:rFonts w:hint="eastAsia"/>
          <w:kern w:val="0"/>
        </w:rPr>
        <w:t>、总服务站点：广州市唯康通信技术有限公司</w:t>
      </w:r>
    </w:p>
    <w:p>
      <w:pPr>
        <w:ind w:firstLine="480"/>
        <w:rPr>
          <w:rFonts w:cs="Times New Roman"/>
          <w:kern w:val="0"/>
        </w:rPr>
      </w:pPr>
      <w:r>
        <w:rPr>
          <w:kern w:val="0"/>
        </w:rPr>
        <w:t>3</w:t>
      </w:r>
      <w:r>
        <w:rPr>
          <w:rFonts w:hint="eastAsia"/>
          <w:kern w:val="0"/>
        </w:rPr>
        <w:t>、总站点地址：广州市天河区高塘新建区高科路</w:t>
      </w:r>
      <w:r>
        <w:rPr>
          <w:kern w:val="0"/>
        </w:rPr>
        <w:t>46</w:t>
      </w:r>
      <w:r>
        <w:rPr>
          <w:rFonts w:hint="eastAsia"/>
          <w:kern w:val="0"/>
        </w:rPr>
        <w:t>号羊城大厦</w:t>
      </w:r>
      <w:r>
        <w:rPr>
          <w:kern w:val="0"/>
        </w:rPr>
        <w:t>4</w:t>
      </w:r>
      <w:r>
        <w:rPr>
          <w:rFonts w:hint="eastAsia"/>
          <w:kern w:val="0"/>
        </w:rPr>
        <w:t>楼</w:t>
      </w:r>
    </w:p>
    <w:p>
      <w:pPr>
        <w:ind w:firstLine="480"/>
        <w:rPr>
          <w:rFonts w:cs="Times New Roman"/>
          <w:kern w:val="0"/>
        </w:rPr>
      </w:pPr>
      <w:r>
        <w:rPr>
          <w:kern w:val="0"/>
        </w:rPr>
        <w:t>4</w:t>
      </w:r>
      <w:r>
        <w:rPr>
          <w:rFonts w:hint="eastAsia"/>
          <w:kern w:val="0"/>
        </w:rPr>
        <w:t>、服务队伍：我公司拥有一支经验丰富的售后服务队伍，可以解决客户在使用过程中产生的各种问题。</w:t>
      </w:r>
    </w:p>
    <w:p>
      <w:pPr>
        <w:rPr>
          <w:rFonts w:cs="Times New Roman"/>
        </w:rPr>
      </w:pPr>
    </w:p>
    <w:p>
      <w:pPr>
        <w:jc w:val="center"/>
        <w:rPr>
          <w:rFonts w:cs="Times New Roman"/>
        </w:rPr>
      </w:pPr>
      <w:r>
        <w:rPr>
          <w:rFonts w:ascii="宋体" w:hAnsi="宋体" w:eastAsia="宋体" w:cs="Times New Roman"/>
          <w:kern w:val="2"/>
          <w:sz w:val="24"/>
          <w:szCs w:val="24"/>
          <w:lang w:val="en-US" w:eastAsia="zh-CN" w:bidi="ar-SA"/>
        </w:rPr>
        <w:drawing>
          <wp:inline distT="0" distB="0" distL="114300" distR="114300">
            <wp:extent cx="4838065" cy="4131310"/>
            <wp:effectExtent l="0" t="0" r="635" b="2540"/>
            <wp:docPr id="4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12"/>
                    <pic:cNvPicPr>
                      <a:picLocks noChangeAspect="1"/>
                    </pic:cNvPicPr>
                  </pic:nvPicPr>
                  <pic:blipFill>
                    <a:blip r:embed="rId16">
                      <a:lum/>
                    </a:blip>
                    <a:srcRect/>
                    <a:stretch>
                      <a:fillRect/>
                    </a:stretch>
                  </pic:blipFill>
                  <pic:spPr>
                    <a:xfrm>
                      <a:off x="0" y="0"/>
                      <a:ext cx="4838065" cy="4131310"/>
                    </a:xfrm>
                    <a:prstGeom prst="rect">
                      <a:avLst/>
                    </a:prstGeom>
                    <a:noFill/>
                    <a:ln w="9525">
                      <a:noFill/>
                      <a:miter/>
                    </a:ln>
                  </pic:spPr>
                </pic:pic>
              </a:graphicData>
            </a:graphic>
          </wp:inline>
        </w:drawing>
      </w:r>
    </w:p>
    <w:sectPr>
      <w:headerReference r:id="rId3" w:type="default"/>
      <w:footerReference r:id="rId4" w:type="default"/>
      <w:pgSz w:w="11906" w:h="16838"/>
      <w:pgMar w:top="851" w:right="1440" w:bottom="851" w:left="1440" w:header="851" w:footer="992" w:gutter="0"/>
      <w:cols w:space="425"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modern"/>
    <w:pitch w:val="default"/>
    <w:sig w:usb0="E00002FF" w:usb1="400004FF" w:usb2="00000000" w:usb3="00000000" w:csb0="2000019F" w:csb1="00000000"/>
  </w:font>
  <w:font w:name="Calibri">
    <w:panose1 w:val="020F0502020204030204"/>
    <w:charset w:val="00"/>
    <w:family w:val="decorative"/>
    <w:pitch w:val="default"/>
    <w:sig w:usb0="E10002FF" w:usb1="4000ACFF" w:usb2="00000009" w:usb3="00000000" w:csb0="2000019F" w:csb1="00000000"/>
  </w:font>
  <w:font w:name="Arial">
    <w:panose1 w:val="020B0604020202020204"/>
    <w:charset w:val="01"/>
    <w:family w:val="decorative"/>
    <w:pitch w:val="default"/>
    <w:sig w:usb0="E0002AFF" w:usb1="C0007843" w:usb2="00000009" w:usb3="00000000" w:csb0="400001FF" w:csb1="FFFF0000"/>
  </w:font>
  <w:font w:name="Courier New">
    <w:panose1 w:val="02070309020205020404"/>
    <w:charset w:val="01"/>
    <w:family w:val="swiss"/>
    <w:pitch w:val="default"/>
    <w:sig w:usb0="E0002AFF" w:usb1="C0007843" w:usb2="00000009" w:usb3="00000000" w:csb0="400001FF" w:csb1="FFFF0000"/>
  </w:font>
  <w:font w:name="Symbol">
    <w:panose1 w:val="05050102010706020507"/>
    <w:charset w:val="02"/>
    <w:family w:val="modern"/>
    <w:pitch w:val="default"/>
    <w:sig w:usb0="00000000" w:usb1="00000000" w:usb2="00000000" w:usb3="00000000" w:csb0="80000000" w:csb1="00000000"/>
  </w:font>
  <w:font w:name="Cambria">
    <w:panose1 w:val="02040503050406030204"/>
    <w:charset w:val="00"/>
    <w:family w:val="swiss"/>
    <w:pitch w:val="default"/>
    <w:sig w:usb0="E00002FF" w:usb1="400004FF" w:usb2="00000000" w:usb3="00000000" w:csb0="2000019F" w:csb1="00000000"/>
  </w:font>
  <w:font w:name="Calibri">
    <w:panose1 w:val="020F0502020204030204"/>
    <w:charset w:val="00"/>
    <w:family w:val="roman"/>
    <w:pitch w:val="default"/>
    <w:sig w:usb0="E10002FF" w:usb1="4000ACFF" w:usb2="00000009" w:usb3="00000000" w:csb0="2000019F" w:csb1="00000000"/>
  </w:font>
  <w:font w:name="Arial">
    <w:panose1 w:val="020B0604020202020204"/>
    <w:charset w:val="01"/>
    <w:family w:val="roman"/>
    <w:pitch w:val="default"/>
    <w:sig w:usb0="E0002AFF" w:usb1="C0007843" w:usb2="00000009" w:usb3="00000000" w:csb0="400001FF" w:csb1="FFFF0000"/>
  </w:font>
  <w:font w:name="Courier New">
    <w:panose1 w:val="02070309020205020404"/>
    <w:charset w:val="01"/>
    <w:family w:val="decorative"/>
    <w:pitch w:val="default"/>
    <w:sig w:usb0="E0002AFF" w:usb1="C0007843" w:usb2="00000009" w:usb3="00000000" w:csb0="400001FF" w:csb1="FFFF0000"/>
  </w:font>
  <w:font w:name="Symbol">
    <w:panose1 w:val="05050102010706020507"/>
    <w:charset w:val="02"/>
    <w:family w:val="swiss"/>
    <w:pitch w:val="default"/>
    <w:sig w:usb0="00000000" w:usb1="00000000" w:usb2="00000000" w:usb3="00000000" w:csb0="80000000" w:csb1="00000000"/>
  </w:font>
  <w:font w:name="Cambria">
    <w:panose1 w:val="02040503050406030204"/>
    <w:charset w:val="00"/>
    <w:family w:val="decorative"/>
    <w:pitch w:val="default"/>
    <w:sig w:usb0="E00002FF" w:usb1="400004FF" w:usb2="00000000" w:usb3="00000000" w:csb0="2000019F" w:csb1="00000000"/>
  </w:font>
  <w:font w:name="Calibri">
    <w:panose1 w:val="020F0502020204030204"/>
    <w:charset w:val="00"/>
    <w:family w:val="modern"/>
    <w:pitch w:val="default"/>
    <w:sig w:usb0="E10002FF" w:usb1="4000ACFF" w:usb2="00000009" w:usb3="00000000" w:csb0="2000019F" w:csb1="00000000"/>
  </w:font>
  <w:font w:name="Arial">
    <w:panose1 w:val="020B0604020202020204"/>
    <w:charset w:val="01"/>
    <w:family w:val="modern"/>
    <w:pitch w:val="default"/>
    <w:sig w:usb0="E0002AFF" w:usb1="C0007843" w:usb2="00000009" w:usb3="00000000" w:csb0="400001FF" w:csb1="FFFF0000"/>
  </w:font>
  <w:font w:name="Courier New">
    <w:panose1 w:val="02070309020205020404"/>
    <w:charset w:val="01"/>
    <w:family w:val="roman"/>
    <w:pitch w:val="default"/>
    <w:sig w:usb0="E0002AFF" w:usb1="C0007843" w:usb2="00000009" w:usb3="00000000" w:csb0="400001FF" w:csb1="FFFF0000"/>
  </w:font>
  <w:font w:name="Symbol">
    <w:panose1 w:val="05050102010706020507"/>
    <w:charset w:val="02"/>
    <w:family w:val="decorative"/>
    <w:pitch w:val="default"/>
    <w:sig w:usb0="00000000" w:usb1="00000000" w:usb2="00000000" w:usb3="00000000" w:csb0="80000000" w:csb1="00000000"/>
  </w:font>
  <w:font w:name="楷体">
    <w:panose1 w:val="02010609060101010101"/>
    <w:charset w:val="86"/>
    <w:family w:val="auto"/>
    <w:pitch w:val="default"/>
    <w:sig w:usb0="800002BF" w:usb1="38CF7CFA" w:usb2="00000016" w:usb3="00000000" w:csb0="00040001" w:csb1="00000000"/>
  </w:font>
  <w:font w:name="Tms Rmn">
    <w:altName w:val="Segoe Print"/>
    <w:panose1 w:val="02020603040505020304"/>
    <w:charset w:val="00"/>
    <w:family w:val="auto"/>
    <w:pitch w:val="default"/>
    <w:sig w:usb0="00000000" w:usb1="00000000" w:usb2="00000000" w:usb3="00000000" w:csb0="00000001" w:csb1="00000000"/>
  </w:font>
  <w:font w:name="华文新魏">
    <w:panose1 w:val="02010800040101010101"/>
    <w:charset w:val="86"/>
    <w:family w:val="auto"/>
    <w:pitch w:val="default"/>
    <w:sig w:usb0="00000001" w:usb1="080F0000" w:usb2="00000000" w:usb3="00000000" w:csb0="00040000" w:csb1="00000000"/>
  </w:font>
  <w:font w:name="隶书">
    <w:panose1 w:val="02010509060101010101"/>
    <w:charset w:val="86"/>
    <w:family w:val="auto"/>
    <w:pitch w:val="default"/>
    <w:sig w:usb0="00000001" w:usb1="080E0000" w:usb2="00000000" w:usb3="00000000" w:csb0="00040000" w:csb1="00000000"/>
  </w:font>
  <w:font w:name="Tahoma">
    <w:panose1 w:val="020B0604030504040204"/>
    <w:charset w:val="00"/>
    <w:family w:val="auto"/>
    <w:pitch w:val="default"/>
    <w:sig w:usb0="E1002EFF" w:usb1="C000605B" w:usb2="00000029" w:usb3="00000000" w:csb0="200101FF" w:csb1="20280000"/>
  </w:font>
  <w:font w:name="仿宋体">
    <w:altName w:val="宋体"/>
    <w:panose1 w:val="00000000000000000000"/>
    <w:charset w:val="86"/>
    <w:family w:val="auto"/>
    <w:pitch w:val="default"/>
    <w:sig w:usb0="00000000" w:usb1="00000000" w:usb2="00000010" w:usb3="00000000" w:csb0="00040000" w:csb1="00000000"/>
  </w:font>
  <w:font w:name="Segoe Print">
    <w:panose1 w:val="02000600000000000000"/>
    <w:charset w:val="00"/>
    <w:family w:val="auto"/>
    <w:pitch w:val="default"/>
    <w:sig w:usb0="0000028F" w:usb1="00000000" w:usb2="00000000" w:usb3="00000000" w:csb0="2000009F" w:csb1="4701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14"/>
      <w:pBdr>
        <w:top w:val="thinThickSmallGap" w:color="622423" w:sz="24" w:space="1"/>
      </w:pBdr>
      <w:rPr>
        <w:rFonts w:ascii="Cambria" w:hAnsi="Cambria" w:cs="Cambria"/>
      </w:rPr>
    </w:pPr>
    <w:r>
      <w:rPr>
        <w:rFonts w:ascii="Cambria" w:hAnsi="Cambria" w:cs="Cambria"/>
        <w:b/>
        <w:bCs/>
        <w:color w:val="0000FF"/>
      </w:rPr>
      <w:t>Http://</w:t>
    </w:r>
    <w:hyperlink r:id="rId1" w:history="1">
      <w:r>
        <w:rPr>
          <w:rStyle w:val="28"/>
          <w:rFonts w:ascii="Cambria" w:hAnsi="Cambria" w:cs="Cambria"/>
          <w:b/>
          <w:bCs/>
        </w:rPr>
        <w:t>www.china-vcom.com</w:t>
      </w:r>
    </w:hyperlink>
    <w:r>
      <w:rPr>
        <w:rFonts w:ascii="Cambria" w:hAnsi="Cambria" w:cs="Cambria"/>
      </w:rPr>
      <w:t xml:space="preserve">                      </w:t>
    </w:r>
    <w:r>
      <w:rPr>
        <w:rFonts w:ascii="Cambria" w:hAnsi="Cambria" w:cs="Cambria"/>
        <w:lang w:val="zh-CN"/>
      </w:rPr>
      <w:t xml:space="preserve"> </w:t>
    </w:r>
    <w:r>
      <w:rPr>
        <w:b/>
        <w:bCs/>
      </w:rPr>
      <w:fldChar w:fldCharType="begin"/>
    </w:r>
    <w:r>
      <w:rPr>
        <w:b/>
        <w:bCs/>
      </w:rPr>
      <w:instrText xml:space="preserve"> PAGE   \* MERGEFORMAT </w:instrText>
    </w:r>
    <w:r>
      <w:rPr>
        <w:b/>
        <w:bCs/>
      </w:rPr>
      <w:fldChar w:fldCharType="separate"/>
    </w:r>
    <w:r>
      <w:rPr>
        <w:rFonts w:ascii="Cambria" w:hAnsi="Cambria" w:cs="Cambria"/>
        <w:b/>
        <w:bCs/>
        <w:lang w:val="zh-CN"/>
      </w:rPr>
      <w:t>1</w:t>
    </w:r>
    <w:r>
      <w:rPr>
        <w:b/>
        <w:bCs/>
      </w:rPr>
      <w:fldChar w:fldCharType="end"/>
    </w:r>
    <w:r>
      <w:rPr>
        <w:b/>
        <w:bCs/>
      </w:rPr>
      <w:t xml:space="preserve">                              </w:t>
    </w:r>
    <w:r>
      <w:rPr>
        <w:rFonts w:hint="eastAsia"/>
        <w:b/>
        <w:bCs/>
      </w:rPr>
      <w:t>网布全球</w:t>
    </w:r>
    <w:r>
      <w:rPr>
        <w:b/>
        <w:bCs/>
      </w:rPr>
      <w:t xml:space="preserve">  </w:t>
    </w:r>
    <w:r>
      <w:rPr>
        <w:rFonts w:hint="eastAsia"/>
        <w:b/>
        <w:bCs/>
      </w:rPr>
      <w:t>线系唯康</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15"/>
      <w:pBdr>
        <w:bottom w:val="thickThinSmallGap" w:color="622423" w:sz="24" w:space="1"/>
      </w:pBdr>
      <w:jc w:val="both"/>
      <w:rPr>
        <w:rFonts w:ascii="Cambria" w:hAnsi="Cambria" w:cs="Cambria"/>
        <w:b/>
        <w:bCs/>
        <w:color w:val="7F7F7F"/>
      </w:rPr>
    </w:pPr>
    <w:r>
      <w:rPr>
        <w:rFonts w:ascii="宋体" w:hAnsi="宋体" w:eastAsia="宋体" w:cs="宋体"/>
        <w:kern w:val="2"/>
        <w:sz w:val="18"/>
        <w:szCs w:val="18"/>
        <w:lang w:val="en-US" w:eastAsia="zh-CN" w:bidi="ar-SA"/>
      </w:rPr>
      <w:drawing>
        <wp:anchor distT="0" distB="0" distL="114300" distR="114300" simplePos="0" relativeHeight="251658240" behindDoc="0" locked="0" layoutInCell="1" allowOverlap="1">
          <wp:simplePos x="0" y="0"/>
          <wp:positionH relativeFrom="column">
            <wp:posOffset>-172720</wp:posOffset>
          </wp:positionH>
          <wp:positionV relativeFrom="paragraph">
            <wp:posOffset>-74930</wp:posOffset>
          </wp:positionV>
          <wp:extent cx="479425" cy="431800"/>
          <wp:effectExtent l="0" t="0" r="0" b="6350"/>
          <wp:wrapTopAndBottom/>
          <wp:docPr id="44" name="图片 36" descr="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6" descr="logo2"/>
                  <pic:cNvPicPr>
                    <a:picLocks noChangeAspect="1"/>
                  </pic:cNvPicPr>
                </pic:nvPicPr>
                <pic:blipFill>
                  <a:blip r:embed="rId1">
                    <a:lum/>
                  </a:blip>
                  <a:srcRect/>
                  <a:stretch>
                    <a:fillRect/>
                  </a:stretch>
                </pic:blipFill>
                <pic:spPr>
                  <a:xfrm>
                    <a:off x="0" y="0"/>
                    <a:ext cx="479425" cy="431800"/>
                  </a:xfrm>
                  <a:prstGeom prst="rect">
                    <a:avLst/>
                  </a:prstGeom>
                  <a:noFill/>
                  <a:ln w="9525">
                    <a:noFill/>
                    <a:miter/>
                  </a:ln>
                </pic:spPr>
              </pic:pic>
            </a:graphicData>
          </a:graphic>
        </wp:anchor>
      </w:drawing>
    </w:r>
    <w:r>
      <w:rPr>
        <w:rFonts w:ascii="Cambria" w:hAnsi="Cambria" w:cs="Cambria"/>
        <w:sz w:val="32"/>
        <w:szCs w:val="32"/>
      </w:rPr>
      <w:t xml:space="preserve">                                            </w:t>
    </w:r>
    <w:r>
      <w:rPr>
        <w:rFonts w:ascii="Cambria" w:hAnsi="Cambria" w:cs="Cambria"/>
        <w:b/>
        <w:bCs/>
        <w:sz w:val="21"/>
        <w:szCs w:val="21"/>
      </w:rPr>
      <w:t xml:space="preserve"> </w:t>
    </w:r>
    <w:r>
      <w:rPr>
        <w:rFonts w:hint="eastAsia" w:ascii="Cambria" w:hAnsi="Cambria"/>
        <w:b/>
        <w:bCs/>
        <w:color w:val="7F7F7F"/>
      </w:rPr>
      <w:t>超五类非屏蔽系统方案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393503054">
    <w:nsid w:val="530F2B4E"/>
    <w:multiLevelType w:val="multilevel"/>
    <w:tmpl w:val="530F2B4E"/>
    <w:lvl w:ilvl="0" w:tentative="1">
      <w:start w:val="1"/>
      <w:numFmt w:val="bullet"/>
      <w:lvlText w:val=""/>
      <w:lvlJc w:val="left"/>
      <w:pPr>
        <w:ind w:left="840" w:hanging="420"/>
      </w:pPr>
      <w:rPr>
        <w:rFonts w:hint="default" w:ascii="Wingdings" w:hAnsi="Wingdings"/>
      </w:rPr>
    </w:lvl>
    <w:lvl w:ilvl="1" w:tentative="1">
      <w:start w:val="1"/>
      <w:numFmt w:val="bullet"/>
      <w:lvlText w:val=""/>
      <w:lvlJc w:val="left"/>
      <w:pPr>
        <w:ind w:left="1260" w:hanging="420"/>
      </w:pPr>
      <w:rPr>
        <w:rFonts w:hint="default" w:ascii="Wingdings" w:hAnsi="Wingdings"/>
      </w:rPr>
    </w:lvl>
    <w:lvl w:ilvl="2" w:tentative="1">
      <w:start w:val="1"/>
      <w:numFmt w:val="bullet"/>
      <w:lvlText w:val=""/>
      <w:lvlJc w:val="left"/>
      <w:pPr>
        <w:ind w:left="1680" w:hanging="420"/>
      </w:pPr>
      <w:rPr>
        <w:rFonts w:hint="default" w:ascii="Wingdings" w:hAnsi="Wingdings"/>
      </w:rPr>
    </w:lvl>
    <w:lvl w:ilvl="3" w:tentative="1">
      <w:start w:val="1"/>
      <w:numFmt w:val="bullet"/>
      <w:lvlText w:val=""/>
      <w:lvlJc w:val="left"/>
      <w:pPr>
        <w:ind w:left="2100" w:hanging="420"/>
      </w:pPr>
      <w:rPr>
        <w:rFonts w:hint="default" w:ascii="Wingdings" w:hAnsi="Wingdings"/>
      </w:rPr>
    </w:lvl>
    <w:lvl w:ilvl="4" w:tentative="1">
      <w:start w:val="1"/>
      <w:numFmt w:val="bullet"/>
      <w:lvlText w:val=""/>
      <w:lvlJc w:val="left"/>
      <w:pPr>
        <w:ind w:left="2520" w:hanging="420"/>
      </w:pPr>
      <w:rPr>
        <w:rFonts w:hint="default" w:ascii="Wingdings" w:hAnsi="Wingdings"/>
      </w:rPr>
    </w:lvl>
    <w:lvl w:ilvl="5" w:tentative="1">
      <w:start w:val="1"/>
      <w:numFmt w:val="bullet"/>
      <w:lvlText w:val=""/>
      <w:lvlJc w:val="left"/>
      <w:pPr>
        <w:ind w:left="2940" w:hanging="420"/>
      </w:pPr>
      <w:rPr>
        <w:rFonts w:hint="default" w:ascii="Wingdings" w:hAnsi="Wingdings"/>
      </w:rPr>
    </w:lvl>
    <w:lvl w:ilvl="6" w:tentative="1">
      <w:start w:val="1"/>
      <w:numFmt w:val="bullet"/>
      <w:lvlText w:val=""/>
      <w:lvlJc w:val="left"/>
      <w:pPr>
        <w:ind w:left="3360" w:hanging="420"/>
      </w:pPr>
      <w:rPr>
        <w:rFonts w:hint="default" w:ascii="Wingdings" w:hAnsi="Wingdings"/>
      </w:rPr>
    </w:lvl>
    <w:lvl w:ilvl="7" w:tentative="1">
      <w:start w:val="1"/>
      <w:numFmt w:val="bullet"/>
      <w:lvlText w:val=""/>
      <w:lvlJc w:val="left"/>
      <w:pPr>
        <w:ind w:left="3780" w:hanging="420"/>
      </w:pPr>
      <w:rPr>
        <w:rFonts w:hint="default" w:ascii="Wingdings" w:hAnsi="Wingdings"/>
      </w:rPr>
    </w:lvl>
    <w:lvl w:ilvl="8" w:tentative="1">
      <w:start w:val="1"/>
      <w:numFmt w:val="bullet"/>
      <w:lvlText w:val=""/>
      <w:lvlJc w:val="left"/>
      <w:pPr>
        <w:ind w:left="4200" w:hanging="420"/>
      </w:pPr>
      <w:rPr>
        <w:rFonts w:hint="default" w:ascii="Wingdings" w:hAnsi="Wingdings"/>
      </w:rPr>
    </w:lvl>
  </w:abstractNum>
  <w:abstractNum w:abstractNumId="1586845297">
    <w:nsid w:val="5E955671"/>
    <w:multiLevelType w:val="multilevel"/>
    <w:tmpl w:val="5E955671"/>
    <w:lvl w:ilvl="0" w:tentative="1">
      <w:start w:val="1"/>
      <w:numFmt w:val="bullet"/>
      <w:lvlText w:val=""/>
      <w:lvlJc w:val="left"/>
      <w:pPr>
        <w:tabs>
          <w:tab w:val="left" w:pos="420"/>
        </w:tabs>
        <w:ind w:left="420" w:hanging="420"/>
      </w:pPr>
      <w:rPr>
        <w:rFonts w:hint="default" w:ascii="Wingdings" w:hAnsi="Wingdings"/>
      </w:rPr>
    </w:lvl>
    <w:lvl w:ilvl="1" w:tentative="1">
      <w:start w:val="1"/>
      <w:numFmt w:val="bullet"/>
      <w:lvlText w:val=""/>
      <w:lvlJc w:val="left"/>
      <w:pPr>
        <w:tabs>
          <w:tab w:val="left" w:pos="840"/>
        </w:tabs>
        <w:ind w:left="840" w:hanging="420"/>
      </w:pPr>
      <w:rPr>
        <w:rFonts w:hint="default" w:ascii="Wingdings" w:hAnsi="Wingdings"/>
      </w:rPr>
    </w:lvl>
    <w:lvl w:ilvl="2" w:tentative="1">
      <w:start w:val="1"/>
      <w:numFmt w:val="bullet"/>
      <w:lvlText w:val=""/>
      <w:lvlJc w:val="left"/>
      <w:pPr>
        <w:tabs>
          <w:tab w:val="left" w:pos="1260"/>
        </w:tabs>
        <w:ind w:left="1260" w:hanging="420"/>
      </w:pPr>
      <w:rPr>
        <w:rFonts w:hint="default" w:ascii="Wingdings" w:hAnsi="Wingdings"/>
      </w:rPr>
    </w:lvl>
    <w:lvl w:ilvl="3" w:tentative="1">
      <w:start w:val="1"/>
      <w:numFmt w:val="bullet"/>
      <w:lvlText w:val=""/>
      <w:lvlJc w:val="left"/>
      <w:pPr>
        <w:tabs>
          <w:tab w:val="left" w:pos="1680"/>
        </w:tabs>
        <w:ind w:left="1680" w:hanging="420"/>
      </w:pPr>
      <w:rPr>
        <w:rFonts w:hint="default" w:ascii="Wingdings" w:hAnsi="Wingdings"/>
      </w:rPr>
    </w:lvl>
    <w:lvl w:ilvl="4" w:tentative="1">
      <w:start w:val="1"/>
      <w:numFmt w:val="bullet"/>
      <w:lvlText w:val=""/>
      <w:lvlJc w:val="left"/>
      <w:pPr>
        <w:tabs>
          <w:tab w:val="left" w:pos="2100"/>
        </w:tabs>
        <w:ind w:left="2100" w:hanging="420"/>
      </w:pPr>
      <w:rPr>
        <w:rFonts w:hint="default" w:ascii="Wingdings" w:hAnsi="Wingdings"/>
      </w:rPr>
    </w:lvl>
    <w:lvl w:ilvl="5" w:tentative="1">
      <w:start w:val="1"/>
      <w:numFmt w:val="bullet"/>
      <w:lvlText w:val=""/>
      <w:lvlJc w:val="left"/>
      <w:pPr>
        <w:tabs>
          <w:tab w:val="left" w:pos="2520"/>
        </w:tabs>
        <w:ind w:left="2520" w:hanging="420"/>
      </w:pPr>
      <w:rPr>
        <w:rFonts w:hint="default" w:ascii="Wingdings" w:hAnsi="Wingdings"/>
      </w:rPr>
    </w:lvl>
    <w:lvl w:ilvl="6" w:tentative="1">
      <w:start w:val="1"/>
      <w:numFmt w:val="bullet"/>
      <w:lvlText w:val=""/>
      <w:lvlJc w:val="left"/>
      <w:pPr>
        <w:tabs>
          <w:tab w:val="left" w:pos="2940"/>
        </w:tabs>
        <w:ind w:left="2940" w:hanging="420"/>
      </w:pPr>
      <w:rPr>
        <w:rFonts w:hint="default" w:ascii="Wingdings" w:hAnsi="Wingdings"/>
      </w:rPr>
    </w:lvl>
    <w:lvl w:ilvl="7" w:tentative="1">
      <w:start w:val="1"/>
      <w:numFmt w:val="bullet"/>
      <w:lvlText w:val=""/>
      <w:lvlJc w:val="left"/>
      <w:pPr>
        <w:tabs>
          <w:tab w:val="left" w:pos="3360"/>
        </w:tabs>
        <w:ind w:left="3360" w:hanging="420"/>
      </w:pPr>
      <w:rPr>
        <w:rFonts w:hint="default" w:ascii="Wingdings" w:hAnsi="Wingdings"/>
      </w:rPr>
    </w:lvl>
    <w:lvl w:ilvl="8" w:tentative="1">
      <w:start w:val="1"/>
      <w:numFmt w:val="bullet"/>
      <w:lvlText w:val=""/>
      <w:lvlJc w:val="left"/>
      <w:pPr>
        <w:tabs>
          <w:tab w:val="left" w:pos="3780"/>
        </w:tabs>
        <w:ind w:left="3780" w:hanging="420"/>
      </w:pPr>
      <w:rPr>
        <w:rFonts w:hint="default" w:ascii="Wingdings" w:hAnsi="Wingdings"/>
      </w:rPr>
    </w:lvl>
  </w:abstractNum>
  <w:abstractNum w:abstractNumId="373896085">
    <w:nsid w:val="16493395"/>
    <w:multiLevelType w:val="multilevel"/>
    <w:tmpl w:val="16493395"/>
    <w:lvl w:ilvl="0" w:tentative="1">
      <w:start w:val="1"/>
      <w:numFmt w:val="bullet"/>
      <w:lvlText w:val=""/>
      <w:lvlJc w:val="left"/>
      <w:pPr>
        <w:ind w:left="840" w:hanging="420"/>
      </w:pPr>
      <w:rPr>
        <w:rFonts w:hint="default" w:ascii="Wingdings" w:hAnsi="Wingdings"/>
      </w:rPr>
    </w:lvl>
    <w:lvl w:ilvl="1" w:tentative="1">
      <w:start w:val="1"/>
      <w:numFmt w:val="bullet"/>
      <w:lvlText w:val=""/>
      <w:lvlJc w:val="left"/>
      <w:pPr>
        <w:ind w:left="1260" w:hanging="420"/>
      </w:pPr>
      <w:rPr>
        <w:rFonts w:hint="default" w:ascii="Wingdings" w:hAnsi="Wingdings"/>
      </w:rPr>
    </w:lvl>
    <w:lvl w:ilvl="2" w:tentative="1">
      <w:start w:val="1"/>
      <w:numFmt w:val="bullet"/>
      <w:lvlText w:val=""/>
      <w:lvlJc w:val="left"/>
      <w:pPr>
        <w:ind w:left="1680" w:hanging="420"/>
      </w:pPr>
      <w:rPr>
        <w:rFonts w:hint="default" w:ascii="Wingdings" w:hAnsi="Wingdings"/>
      </w:rPr>
    </w:lvl>
    <w:lvl w:ilvl="3" w:tentative="1">
      <w:start w:val="1"/>
      <w:numFmt w:val="bullet"/>
      <w:lvlText w:val=""/>
      <w:lvlJc w:val="left"/>
      <w:pPr>
        <w:ind w:left="2100" w:hanging="420"/>
      </w:pPr>
      <w:rPr>
        <w:rFonts w:hint="default" w:ascii="Wingdings" w:hAnsi="Wingdings"/>
      </w:rPr>
    </w:lvl>
    <w:lvl w:ilvl="4" w:tentative="1">
      <w:start w:val="1"/>
      <w:numFmt w:val="bullet"/>
      <w:lvlText w:val=""/>
      <w:lvlJc w:val="left"/>
      <w:pPr>
        <w:ind w:left="2520" w:hanging="420"/>
      </w:pPr>
      <w:rPr>
        <w:rFonts w:hint="default" w:ascii="Wingdings" w:hAnsi="Wingdings"/>
      </w:rPr>
    </w:lvl>
    <w:lvl w:ilvl="5" w:tentative="1">
      <w:start w:val="1"/>
      <w:numFmt w:val="bullet"/>
      <w:lvlText w:val=""/>
      <w:lvlJc w:val="left"/>
      <w:pPr>
        <w:ind w:left="2940" w:hanging="420"/>
      </w:pPr>
      <w:rPr>
        <w:rFonts w:hint="default" w:ascii="Wingdings" w:hAnsi="Wingdings"/>
      </w:rPr>
    </w:lvl>
    <w:lvl w:ilvl="6" w:tentative="1">
      <w:start w:val="1"/>
      <w:numFmt w:val="bullet"/>
      <w:lvlText w:val=""/>
      <w:lvlJc w:val="left"/>
      <w:pPr>
        <w:ind w:left="3360" w:hanging="420"/>
      </w:pPr>
      <w:rPr>
        <w:rFonts w:hint="default" w:ascii="Wingdings" w:hAnsi="Wingdings"/>
      </w:rPr>
    </w:lvl>
    <w:lvl w:ilvl="7" w:tentative="1">
      <w:start w:val="1"/>
      <w:numFmt w:val="bullet"/>
      <w:lvlText w:val=""/>
      <w:lvlJc w:val="left"/>
      <w:pPr>
        <w:ind w:left="3780" w:hanging="420"/>
      </w:pPr>
      <w:rPr>
        <w:rFonts w:hint="default" w:ascii="Wingdings" w:hAnsi="Wingdings"/>
      </w:rPr>
    </w:lvl>
    <w:lvl w:ilvl="8" w:tentative="1">
      <w:start w:val="1"/>
      <w:numFmt w:val="bullet"/>
      <w:lvlText w:val=""/>
      <w:lvlJc w:val="left"/>
      <w:pPr>
        <w:ind w:left="4200" w:hanging="420"/>
      </w:pPr>
      <w:rPr>
        <w:rFonts w:hint="default" w:ascii="Wingdings" w:hAnsi="Wingdings"/>
      </w:rPr>
    </w:lvl>
  </w:abstractNum>
  <w:abstractNum w:abstractNumId="1857427906">
    <w:nsid w:val="6EB619C2"/>
    <w:multiLevelType w:val="multilevel"/>
    <w:tmpl w:val="6EB619C2"/>
    <w:lvl w:ilvl="0" w:tentative="1">
      <w:start w:val="1"/>
      <w:numFmt w:val="bullet"/>
      <w:lvlText w:val=""/>
      <w:lvlJc w:val="left"/>
      <w:pPr>
        <w:ind w:left="840" w:hanging="420"/>
      </w:pPr>
      <w:rPr>
        <w:rFonts w:hint="default" w:ascii="Wingdings" w:hAnsi="Wingdings"/>
      </w:rPr>
    </w:lvl>
    <w:lvl w:ilvl="1" w:tentative="1">
      <w:start w:val="1"/>
      <w:numFmt w:val="bullet"/>
      <w:lvlText w:val=""/>
      <w:lvlJc w:val="left"/>
      <w:pPr>
        <w:ind w:left="1260" w:hanging="420"/>
      </w:pPr>
      <w:rPr>
        <w:rFonts w:hint="default" w:ascii="Wingdings" w:hAnsi="Wingdings"/>
      </w:rPr>
    </w:lvl>
    <w:lvl w:ilvl="2" w:tentative="1">
      <w:start w:val="1"/>
      <w:numFmt w:val="bullet"/>
      <w:lvlText w:val=""/>
      <w:lvlJc w:val="left"/>
      <w:pPr>
        <w:ind w:left="1680" w:hanging="420"/>
      </w:pPr>
      <w:rPr>
        <w:rFonts w:hint="default" w:ascii="Wingdings" w:hAnsi="Wingdings"/>
      </w:rPr>
    </w:lvl>
    <w:lvl w:ilvl="3" w:tentative="1">
      <w:start w:val="1"/>
      <w:numFmt w:val="bullet"/>
      <w:lvlText w:val=""/>
      <w:lvlJc w:val="left"/>
      <w:pPr>
        <w:ind w:left="2100" w:hanging="420"/>
      </w:pPr>
      <w:rPr>
        <w:rFonts w:hint="default" w:ascii="Wingdings" w:hAnsi="Wingdings"/>
      </w:rPr>
    </w:lvl>
    <w:lvl w:ilvl="4" w:tentative="1">
      <w:start w:val="1"/>
      <w:numFmt w:val="bullet"/>
      <w:lvlText w:val=""/>
      <w:lvlJc w:val="left"/>
      <w:pPr>
        <w:ind w:left="2520" w:hanging="420"/>
      </w:pPr>
      <w:rPr>
        <w:rFonts w:hint="default" w:ascii="Wingdings" w:hAnsi="Wingdings"/>
      </w:rPr>
    </w:lvl>
    <w:lvl w:ilvl="5" w:tentative="1">
      <w:start w:val="1"/>
      <w:numFmt w:val="bullet"/>
      <w:lvlText w:val=""/>
      <w:lvlJc w:val="left"/>
      <w:pPr>
        <w:ind w:left="2940" w:hanging="420"/>
      </w:pPr>
      <w:rPr>
        <w:rFonts w:hint="default" w:ascii="Wingdings" w:hAnsi="Wingdings"/>
      </w:rPr>
    </w:lvl>
    <w:lvl w:ilvl="6" w:tentative="1">
      <w:start w:val="1"/>
      <w:numFmt w:val="bullet"/>
      <w:lvlText w:val=""/>
      <w:lvlJc w:val="left"/>
      <w:pPr>
        <w:ind w:left="3360" w:hanging="420"/>
      </w:pPr>
      <w:rPr>
        <w:rFonts w:hint="default" w:ascii="Wingdings" w:hAnsi="Wingdings"/>
      </w:rPr>
    </w:lvl>
    <w:lvl w:ilvl="7" w:tentative="1">
      <w:start w:val="1"/>
      <w:numFmt w:val="bullet"/>
      <w:lvlText w:val=""/>
      <w:lvlJc w:val="left"/>
      <w:pPr>
        <w:ind w:left="3780" w:hanging="420"/>
      </w:pPr>
      <w:rPr>
        <w:rFonts w:hint="default" w:ascii="Wingdings" w:hAnsi="Wingdings"/>
      </w:rPr>
    </w:lvl>
    <w:lvl w:ilvl="8" w:tentative="1">
      <w:start w:val="1"/>
      <w:numFmt w:val="bullet"/>
      <w:lvlText w:val=""/>
      <w:lvlJc w:val="left"/>
      <w:pPr>
        <w:ind w:left="4200" w:hanging="420"/>
      </w:pPr>
      <w:rPr>
        <w:rFonts w:hint="default" w:ascii="Wingdings" w:hAnsi="Wingdings"/>
      </w:rPr>
    </w:lvl>
  </w:abstractNum>
  <w:abstractNum w:abstractNumId="1378511693">
    <w:nsid w:val="522A6B4D"/>
    <w:multiLevelType w:val="multilevel"/>
    <w:tmpl w:val="522A6B4D"/>
    <w:lvl w:ilvl="0" w:tentative="1">
      <w:start w:val="1"/>
      <w:numFmt w:val="bullet"/>
      <w:lvlText w:val=""/>
      <w:lvlJc w:val="left"/>
      <w:pPr>
        <w:tabs>
          <w:tab w:val="left" w:pos="420"/>
        </w:tabs>
        <w:ind w:left="420" w:hanging="420"/>
      </w:pPr>
      <w:rPr>
        <w:rFonts w:hint="default" w:ascii="Wingdings" w:hAnsi="Wingdings"/>
      </w:rPr>
    </w:lvl>
    <w:lvl w:ilvl="1" w:tentative="1">
      <w:start w:val="1"/>
      <w:numFmt w:val="bullet"/>
      <w:lvlText w:val=""/>
      <w:lvlJc w:val="left"/>
      <w:pPr>
        <w:tabs>
          <w:tab w:val="left" w:pos="840"/>
        </w:tabs>
        <w:ind w:left="840" w:hanging="420"/>
      </w:pPr>
      <w:rPr>
        <w:rFonts w:hint="default" w:ascii="Wingdings" w:hAnsi="Wingdings"/>
      </w:rPr>
    </w:lvl>
    <w:lvl w:ilvl="2" w:tentative="1">
      <w:start w:val="1"/>
      <w:numFmt w:val="bullet"/>
      <w:lvlText w:val=""/>
      <w:lvlJc w:val="left"/>
      <w:pPr>
        <w:tabs>
          <w:tab w:val="left" w:pos="1260"/>
        </w:tabs>
        <w:ind w:left="1260" w:hanging="420"/>
      </w:pPr>
      <w:rPr>
        <w:rFonts w:hint="default" w:ascii="Wingdings" w:hAnsi="Wingdings"/>
      </w:rPr>
    </w:lvl>
    <w:lvl w:ilvl="3" w:tentative="1">
      <w:start w:val="1"/>
      <w:numFmt w:val="bullet"/>
      <w:lvlText w:val=""/>
      <w:lvlJc w:val="left"/>
      <w:pPr>
        <w:tabs>
          <w:tab w:val="left" w:pos="1680"/>
        </w:tabs>
        <w:ind w:left="1680" w:hanging="420"/>
      </w:pPr>
      <w:rPr>
        <w:rFonts w:hint="default" w:ascii="Wingdings" w:hAnsi="Wingdings"/>
      </w:rPr>
    </w:lvl>
    <w:lvl w:ilvl="4" w:tentative="1">
      <w:start w:val="1"/>
      <w:numFmt w:val="bullet"/>
      <w:lvlText w:val=""/>
      <w:lvlJc w:val="left"/>
      <w:pPr>
        <w:tabs>
          <w:tab w:val="left" w:pos="2100"/>
        </w:tabs>
        <w:ind w:left="2100" w:hanging="420"/>
      </w:pPr>
      <w:rPr>
        <w:rFonts w:hint="default" w:ascii="Wingdings" w:hAnsi="Wingdings"/>
      </w:rPr>
    </w:lvl>
    <w:lvl w:ilvl="5" w:tentative="1">
      <w:start w:val="1"/>
      <w:numFmt w:val="bullet"/>
      <w:lvlText w:val=""/>
      <w:lvlJc w:val="left"/>
      <w:pPr>
        <w:tabs>
          <w:tab w:val="left" w:pos="2520"/>
        </w:tabs>
        <w:ind w:left="2520" w:hanging="420"/>
      </w:pPr>
      <w:rPr>
        <w:rFonts w:hint="default" w:ascii="Wingdings" w:hAnsi="Wingdings"/>
      </w:rPr>
    </w:lvl>
    <w:lvl w:ilvl="6" w:tentative="1">
      <w:start w:val="1"/>
      <w:numFmt w:val="bullet"/>
      <w:lvlText w:val=""/>
      <w:lvlJc w:val="left"/>
      <w:pPr>
        <w:tabs>
          <w:tab w:val="left" w:pos="2940"/>
        </w:tabs>
        <w:ind w:left="2940" w:hanging="420"/>
      </w:pPr>
      <w:rPr>
        <w:rFonts w:hint="default" w:ascii="Wingdings" w:hAnsi="Wingdings"/>
      </w:rPr>
    </w:lvl>
    <w:lvl w:ilvl="7" w:tentative="1">
      <w:start w:val="1"/>
      <w:numFmt w:val="bullet"/>
      <w:lvlText w:val=""/>
      <w:lvlJc w:val="left"/>
      <w:pPr>
        <w:tabs>
          <w:tab w:val="left" w:pos="3360"/>
        </w:tabs>
        <w:ind w:left="3360" w:hanging="420"/>
      </w:pPr>
      <w:rPr>
        <w:rFonts w:hint="default" w:ascii="Wingdings" w:hAnsi="Wingdings"/>
      </w:rPr>
    </w:lvl>
    <w:lvl w:ilvl="8" w:tentative="1">
      <w:start w:val="1"/>
      <w:numFmt w:val="bullet"/>
      <w:lvlText w:val=""/>
      <w:lvlJc w:val="left"/>
      <w:pPr>
        <w:tabs>
          <w:tab w:val="left" w:pos="3780"/>
        </w:tabs>
        <w:ind w:left="3780" w:hanging="420"/>
      </w:pPr>
      <w:rPr>
        <w:rFonts w:hint="default" w:ascii="Wingdings" w:hAnsi="Wingdings"/>
      </w:rPr>
    </w:lvl>
  </w:abstractNum>
  <w:num w:numId="1">
    <w:abstractNumId w:val="1378511693"/>
  </w:num>
  <w:num w:numId="2">
    <w:abstractNumId w:val="373896085"/>
  </w:num>
  <w:num w:numId="3">
    <w:abstractNumId w:val="1857427906"/>
  </w:num>
  <w:num w:numId="4">
    <w:abstractNumId w:val="1393503054"/>
  </w:num>
  <w:num w:numId="5">
    <w:abstractNumId w:val="158684529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doNotDisplayPageBoundaries w:val="1"/>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1C85"/>
    <w:rsid w:val="00011EC4"/>
    <w:rsid w:val="00023725"/>
    <w:rsid w:val="000454AB"/>
    <w:rsid w:val="0006322C"/>
    <w:rsid w:val="00066980"/>
    <w:rsid w:val="00075292"/>
    <w:rsid w:val="000807CD"/>
    <w:rsid w:val="0008480A"/>
    <w:rsid w:val="00085196"/>
    <w:rsid w:val="000D1C34"/>
    <w:rsid w:val="00107ABC"/>
    <w:rsid w:val="00121130"/>
    <w:rsid w:val="001A539F"/>
    <w:rsid w:val="001B7191"/>
    <w:rsid w:val="00256FFA"/>
    <w:rsid w:val="00263B7F"/>
    <w:rsid w:val="00275D78"/>
    <w:rsid w:val="002D4B8A"/>
    <w:rsid w:val="002E6843"/>
    <w:rsid w:val="002F3BCE"/>
    <w:rsid w:val="00317FBD"/>
    <w:rsid w:val="00320416"/>
    <w:rsid w:val="003312D1"/>
    <w:rsid w:val="00333D64"/>
    <w:rsid w:val="0034240B"/>
    <w:rsid w:val="00356088"/>
    <w:rsid w:val="0036198C"/>
    <w:rsid w:val="003701A2"/>
    <w:rsid w:val="00374EC9"/>
    <w:rsid w:val="003765F7"/>
    <w:rsid w:val="003C29F9"/>
    <w:rsid w:val="003D5CBC"/>
    <w:rsid w:val="003E1D30"/>
    <w:rsid w:val="003E43C2"/>
    <w:rsid w:val="003F7B0B"/>
    <w:rsid w:val="0041565C"/>
    <w:rsid w:val="00423D51"/>
    <w:rsid w:val="004412C8"/>
    <w:rsid w:val="00446915"/>
    <w:rsid w:val="00455D47"/>
    <w:rsid w:val="00495E9F"/>
    <w:rsid w:val="004C5741"/>
    <w:rsid w:val="004D5C3C"/>
    <w:rsid w:val="005120E5"/>
    <w:rsid w:val="0054289F"/>
    <w:rsid w:val="00551B10"/>
    <w:rsid w:val="00554B49"/>
    <w:rsid w:val="005578AD"/>
    <w:rsid w:val="005670AB"/>
    <w:rsid w:val="0057416C"/>
    <w:rsid w:val="00581EAB"/>
    <w:rsid w:val="005A14F2"/>
    <w:rsid w:val="005B3A1B"/>
    <w:rsid w:val="005C08A8"/>
    <w:rsid w:val="005D206E"/>
    <w:rsid w:val="005F0988"/>
    <w:rsid w:val="00605033"/>
    <w:rsid w:val="006201D4"/>
    <w:rsid w:val="00663496"/>
    <w:rsid w:val="0067680F"/>
    <w:rsid w:val="006819BE"/>
    <w:rsid w:val="0069266C"/>
    <w:rsid w:val="00694EF6"/>
    <w:rsid w:val="006E1175"/>
    <w:rsid w:val="006E5D80"/>
    <w:rsid w:val="006F2B83"/>
    <w:rsid w:val="00706CB3"/>
    <w:rsid w:val="007250BF"/>
    <w:rsid w:val="00732559"/>
    <w:rsid w:val="00733068"/>
    <w:rsid w:val="00737C31"/>
    <w:rsid w:val="00752ACE"/>
    <w:rsid w:val="0078407A"/>
    <w:rsid w:val="0079416A"/>
    <w:rsid w:val="007A1C5E"/>
    <w:rsid w:val="007A4B56"/>
    <w:rsid w:val="007F3C09"/>
    <w:rsid w:val="007F42DF"/>
    <w:rsid w:val="00847E4C"/>
    <w:rsid w:val="00851C85"/>
    <w:rsid w:val="00856FC0"/>
    <w:rsid w:val="00862D70"/>
    <w:rsid w:val="00863991"/>
    <w:rsid w:val="008A5D1A"/>
    <w:rsid w:val="008B3F77"/>
    <w:rsid w:val="008B7DFC"/>
    <w:rsid w:val="008E1615"/>
    <w:rsid w:val="008E4DA6"/>
    <w:rsid w:val="00916B0C"/>
    <w:rsid w:val="009700DF"/>
    <w:rsid w:val="00975C45"/>
    <w:rsid w:val="00975E19"/>
    <w:rsid w:val="009A359E"/>
    <w:rsid w:val="009A4740"/>
    <w:rsid w:val="009D024A"/>
    <w:rsid w:val="009F1C72"/>
    <w:rsid w:val="00A011C0"/>
    <w:rsid w:val="00A201C3"/>
    <w:rsid w:val="00A4145B"/>
    <w:rsid w:val="00A7329A"/>
    <w:rsid w:val="00A74475"/>
    <w:rsid w:val="00A76094"/>
    <w:rsid w:val="00A76E79"/>
    <w:rsid w:val="00AC21F2"/>
    <w:rsid w:val="00AD1CAE"/>
    <w:rsid w:val="00AD4C34"/>
    <w:rsid w:val="00AE1DE6"/>
    <w:rsid w:val="00B25183"/>
    <w:rsid w:val="00B34463"/>
    <w:rsid w:val="00B4617E"/>
    <w:rsid w:val="00B5054C"/>
    <w:rsid w:val="00B760F2"/>
    <w:rsid w:val="00B76450"/>
    <w:rsid w:val="00BA31DE"/>
    <w:rsid w:val="00BB103E"/>
    <w:rsid w:val="00BC01ED"/>
    <w:rsid w:val="00BE1497"/>
    <w:rsid w:val="00C07A72"/>
    <w:rsid w:val="00C14ADC"/>
    <w:rsid w:val="00C360FD"/>
    <w:rsid w:val="00C56EC7"/>
    <w:rsid w:val="00CA27F2"/>
    <w:rsid w:val="00CB6D4A"/>
    <w:rsid w:val="00CC0768"/>
    <w:rsid w:val="00CD2F3C"/>
    <w:rsid w:val="00CD414D"/>
    <w:rsid w:val="00CF6BF9"/>
    <w:rsid w:val="00D30A42"/>
    <w:rsid w:val="00D3297A"/>
    <w:rsid w:val="00D40E65"/>
    <w:rsid w:val="00D45F4B"/>
    <w:rsid w:val="00D62ED3"/>
    <w:rsid w:val="00D73612"/>
    <w:rsid w:val="00DD3E44"/>
    <w:rsid w:val="00DD794A"/>
    <w:rsid w:val="00DE737F"/>
    <w:rsid w:val="00E26EB5"/>
    <w:rsid w:val="00E432B9"/>
    <w:rsid w:val="00E43306"/>
    <w:rsid w:val="00EA1313"/>
    <w:rsid w:val="00EA6717"/>
    <w:rsid w:val="00EA72AC"/>
    <w:rsid w:val="00EB5305"/>
    <w:rsid w:val="00ED2123"/>
    <w:rsid w:val="00F062D8"/>
    <w:rsid w:val="00F063D8"/>
    <w:rsid w:val="00F12531"/>
    <w:rsid w:val="00F32AB1"/>
    <w:rsid w:val="00F63D4D"/>
    <w:rsid w:val="00F853C0"/>
    <w:rsid w:val="00F87793"/>
    <w:rsid w:val="00F95E5E"/>
    <w:rsid w:val="04FB0113"/>
    <w:rsid w:val="0B462644"/>
    <w:rsid w:val="108873B6"/>
    <w:rsid w:val="40C918E0"/>
    <w:rsid w:val="585227FD"/>
  </w:rsids>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Calibri"/>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iPriority="9" w:name="heading 5" w:locked="1"/>
    <w:lsdException w:qFormat="1" w:uiPriority="9" w:name="heading 6" w:locked="1"/>
    <w:lsdException w:qFormat="1" w:uiPriority="9" w:name="heading 7" w:locked="1"/>
    <w:lsdException w:qFormat="1" w:uiPriority="9" w:name="heading 8" w:locked="1"/>
    <w:lsdException w:qFormat="1" w:uiPriority="9" w:name="heading 9" w:locked="1"/>
    <w:lsdException w:uiPriority="0" w:name="index 1" w:locked="1"/>
    <w:lsdException w:uiPriority="0" w:name="index 2" w:locked="1"/>
    <w:lsdException w:uiPriority="0" w:name="index 3" w:locked="1"/>
    <w:lsdException w:uiPriority="0" w:name="index 4" w:locked="1"/>
    <w:lsdException w:uiPriority="0" w:name="index 5" w:locked="1"/>
    <w:lsdException w:uiPriority="0" w:name="index 6" w:locked="1"/>
    <w:lsdException w:uiPriority="0" w:name="index 7" w:locked="1"/>
    <w:lsdException w:uiPriority="0" w:name="index 8" w:locked="1"/>
    <w:lsdException w:uiPriority="0" w:name="index 9" w:locked="1"/>
    <w:lsdException w:unhideWhenUsed="0" w:uiPriority="99" w:semiHidden="0" w:name="toc 1"/>
    <w:lsdException w:qFormat="1" w:unhideWhenUsed="0" w:uiPriority="99" w:semiHidden="0" w:name="toc 2"/>
    <w:lsdException w:qFormat="1" w:unhideWhenUsed="0" w:uiPriority="99" w:semiHidden="0" w:name="toc 3"/>
    <w:lsdException w:unhideWhenUsed="0" w:uiPriority="99" w:name="toc 4"/>
    <w:lsdException w:unhideWhenUsed="0" w:uiPriority="99" w:name="toc 5"/>
    <w:lsdException w:qFormat="1" w:unhideWhenUsed="0" w:uiPriority="99" w:name="toc 6"/>
    <w:lsdException w:unhideWhenUsed="0" w:uiPriority="99" w:name="toc 7"/>
    <w:lsdException w:qFormat="1" w:unhideWhenUsed="0" w:uiPriority="99" w:name="toc 8"/>
    <w:lsdException w:qFormat="1" w:unhideWhenUsed="0" w:uiPriority="99" w:name="toc 9"/>
    <w:lsdException w:qFormat="1" w:unhideWhenUsed="0" w:uiPriority="99" w:name="Normal Indent"/>
    <w:lsdException w:uiPriority="0" w:name="footnote text" w:locked="1"/>
    <w:lsdException w:uiPriority="0" w:name="annotation text" w:locked="1"/>
    <w:lsdException w:qFormat="1" w:unhideWhenUsed="0" w:uiPriority="99" w:semiHidden="0" w:name="header"/>
    <w:lsdException w:unhideWhenUsed="0" w:uiPriority="99" w:semiHidden="0" w:name="footer"/>
    <w:lsdException w:uiPriority="0" w:name="index heading" w:locked="1"/>
    <w:lsdException w:qFormat="1" w:uiPriority="35" w:name="caption" w:locked="1"/>
    <w:lsdException w:qFormat="1" w:unhideWhenUsed="0" w:uiPriority="99" w:name="table of figures"/>
    <w:lsdException w:uiPriority="0" w:name="envelope address" w:locked="1"/>
    <w:lsdException w:uiPriority="0" w:name="envelope return" w:locked="1"/>
    <w:lsdException w:uiPriority="0" w:name="footnote reference" w:locked="1"/>
    <w:lsdException w:uiPriority="0" w:name="annotation reference" w:locked="1"/>
    <w:lsdException w:uiPriority="0" w:name="line number" w:locked="1"/>
    <w:lsdException w:qFormat="1" w:unhideWhenUsed="0" w:uiPriority="99" w:semiHidden="0" w:name="page number"/>
    <w:lsdException w:uiPriority="0" w:name="endnote reference" w:locked="1"/>
    <w:lsdException w:uiPriority="0" w:name="endnote text" w:locked="1"/>
    <w:lsdException w:uiPriority="0" w:name="table of authorities" w:locked="1"/>
    <w:lsdException w:uiPriority="0" w:name="macro" w:locked="1"/>
    <w:lsdException w:uiPriority="0" w:name="toa heading" w:locked="1"/>
    <w:lsdException w:uiPriority="0" w:name="List" w:locked="1"/>
    <w:lsdException w:uiPriority="0" w:name="List Bullet" w:locked="1"/>
    <w:lsdException w:uiPriority="0" w:name="List Number" w:locked="1"/>
    <w:lsdException w:uiPriority="0" w:name="List 2" w:locked="1"/>
    <w:lsdException w:uiPriority="0" w:name="List 3" w:locked="1"/>
    <w:lsdException w:uiPriority="0" w:name="List 4" w:locked="1"/>
    <w:lsdException w:uiPriority="0" w:name="List 5" w:locked="1"/>
    <w:lsdException w:uiPriority="0" w:name="List Bullet 2" w:locked="1"/>
    <w:lsdException w:uiPriority="0" w:name="List Bullet 3" w:locked="1"/>
    <w:lsdException w:uiPriority="0" w:name="List Bullet 4" w:locked="1"/>
    <w:lsdException w:uiPriority="0" w:name="List Bullet 5" w:locked="1"/>
    <w:lsdException w:uiPriority="0" w:name="List Number 2" w:locked="1"/>
    <w:lsdException w:uiPriority="0" w:name="List Number 3" w:locked="1"/>
    <w:lsdException w:uiPriority="0" w:name="List Number 4" w:locked="1"/>
    <w:lsdException w:uiPriority="0" w:name="List Number 5" w:locked="1"/>
    <w:lsdException w:qFormat="1" w:unhideWhenUsed="0" w:uiPriority="10" w:semiHidden="0" w:name="Title" w:locked="1"/>
    <w:lsdException w:uiPriority="0" w:name="Closing" w:locked="1"/>
    <w:lsdException w:uiPriority="0" w:name="Signature" w:locked="1"/>
    <w:lsdException w:qFormat="1" w:uiPriority="1" w:semiHidden="0" w:name="Default Paragraph Font"/>
    <w:lsdException w:uiPriority="0" w:name="Body Text" w:locked="1"/>
    <w:lsdException w:qFormat="1" w:unhideWhenUsed="0" w:uiPriority="99" w:semiHidden="0" w:name="Body Text Indent"/>
    <w:lsdException w:uiPriority="0" w:name="List Continue" w:locked="1"/>
    <w:lsdException w:uiPriority="0" w:name="List Continue 2" w:locked="1"/>
    <w:lsdException w:uiPriority="0" w:name="List Continue 3" w:locked="1"/>
    <w:lsdException w:uiPriority="0" w:name="List Continue 4" w:locked="1"/>
    <w:lsdException w:uiPriority="0" w:name="List Continue 5" w:locked="1"/>
    <w:lsdException w:uiPriority="0" w:name="Message Header" w:locked="1"/>
    <w:lsdException w:qFormat="1" w:unhideWhenUsed="0" w:uiPriority="99" w:semiHidden="0" w:name="Subtitle"/>
    <w:lsdException w:uiPriority="0" w:name="Salutation" w:locked="1"/>
    <w:lsdException w:uiPriority="0" w:name="Date" w:locked="1"/>
    <w:lsdException w:uiPriority="0" w:name="Body Text First Indent" w:locked="1"/>
    <w:lsdException w:uiPriority="0" w:name="Body Text First Indent 2" w:locked="1"/>
    <w:lsdException w:uiPriority="0" w:name="Note Heading" w:locked="1"/>
    <w:lsdException w:uiPriority="0" w:name="Body Text 2" w:locked="1"/>
    <w:lsdException w:uiPriority="0" w:name="Body Text 3" w:locked="1"/>
    <w:lsdException w:uiPriority="0" w:name="Body Text Indent 2" w:locked="1"/>
    <w:lsdException w:uiPriority="0" w:name="Body Text Indent 3" w:locked="1"/>
    <w:lsdException w:uiPriority="0" w:name="Block Text" w:locked="1"/>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20" w:semiHidden="0" w:name="Emphasis" w:locked="1"/>
    <w:lsdException w:unhideWhenUsed="0" w:uiPriority="99" w:name="Document Map"/>
    <w:lsdException w:uiPriority="0" w:name="Plain Text" w:locked="1"/>
    <w:lsdException w:uiPriority="0" w:name="E-mail Signature" w:locked="1"/>
    <w:lsdException w:qFormat="1" w:unhideWhenUsed="0" w:uiPriority="99" w:semiHidden="0" w:name="Normal (Web)"/>
    <w:lsdException w:uiPriority="0" w:name="HTML Acronym" w:locked="1"/>
    <w:lsdException w:uiPriority="0" w:name="HTML Address" w:locked="1"/>
    <w:lsdException w:uiPriority="0" w:name="HTML Cite" w:locked="1"/>
    <w:lsdException w:uiPriority="0" w:name="HTML Code" w:locked="1"/>
    <w:lsdException w:uiPriority="0" w:name="HTML Definition" w:locked="1"/>
    <w:lsdException w:uiPriority="0" w:name="HTML Keyboard" w:locked="1"/>
    <w:lsdException w:uiPriority="0" w:name="HTML Preformatted" w:locked="1"/>
    <w:lsdException w:uiPriority="0" w:name="HTML Sample" w:locked="1"/>
    <w:lsdException w:uiPriority="0" w:name="HTML Typewriter" w:locked="1"/>
    <w:lsdException w:uiPriority="0" w:name="HTML Variable" w:locked="1"/>
    <w:lsdException w:qFormat="1" w:uiPriority="99" w:semiHidden="0" w:name="Normal Table"/>
    <w:lsdException w:uiPriority="0" w:name="annotation subject" w:locked="1"/>
    <w:lsdException w:uiPriority="0" w:name="Table Simple 1" w:locked="1"/>
    <w:lsdException w:uiPriority="0" w:name="Table Simple 2" w:locked="1"/>
    <w:lsdException w:uiPriority="0" w:name="Table Simple 3" w:locked="1"/>
    <w:lsdException w:uiPriority="0" w:name="Table Classic 1" w:locked="1"/>
    <w:lsdException w:uiPriority="0" w:name="Table Classic 2" w:locked="1"/>
    <w:lsdException w:uiPriority="0" w:name="Table Classic 3" w:locked="1"/>
    <w:lsdException w:uiPriority="0" w:name="Table Classic 4" w:locked="1"/>
    <w:lsdException w:uiPriority="0" w:name="Table Colorful 1" w:locked="1"/>
    <w:lsdException w:uiPriority="0" w:name="Table Colorful 2" w:locked="1"/>
    <w:lsdException w:uiPriority="0" w:name="Table Colorful 3" w:locked="1"/>
    <w:lsdException w:uiPriority="0" w:name="Table Columns 1" w:locked="1"/>
    <w:lsdException w:uiPriority="0" w:name="Table Columns 2" w:locked="1"/>
    <w:lsdException w:uiPriority="0" w:name="Table Columns 3" w:locked="1"/>
    <w:lsdException w:uiPriority="0" w:name="Table Columns 4" w:locked="1"/>
    <w:lsdException w:uiPriority="0" w:name="Table Columns 5" w:locked="1"/>
    <w:lsdException w:uiPriority="0" w:name="Table Grid 1" w:locked="1"/>
    <w:lsdException w:uiPriority="0" w:name="Table Grid 2" w:locked="1"/>
    <w:lsdException w:uiPriority="0" w:name="Table Grid 3" w:locked="1"/>
    <w:lsdException w:uiPriority="0" w:name="Table Grid 4" w:locked="1"/>
    <w:lsdException w:uiPriority="0" w:name="Table Grid 5" w:locked="1"/>
    <w:lsdException w:uiPriority="0" w:name="Table Grid 6" w:locked="1"/>
    <w:lsdException w:uiPriority="0" w:name="Table Grid 7" w:locked="1"/>
    <w:lsdException w:uiPriority="0" w:name="Table Grid 8" w:locked="1"/>
    <w:lsdException w:uiPriority="0" w:name="Table List 1" w:locked="1"/>
    <w:lsdException w:uiPriority="0" w:name="Table List 2" w:locked="1"/>
    <w:lsdException w:uiPriority="0" w:name="Table List 3" w:locked="1"/>
    <w:lsdException w:uiPriority="0" w:name="Table List 4" w:locked="1"/>
    <w:lsdException w:uiPriority="0" w:name="Table List 5" w:locked="1"/>
    <w:lsdException w:uiPriority="0" w:name="Table List 6" w:locked="1"/>
    <w:lsdException w:uiPriority="0" w:name="Table List 7" w:locked="1"/>
    <w:lsdException w:uiPriority="0" w:name="Table List 8" w:locked="1"/>
    <w:lsdException w:uiPriority="0" w:name="Table 3D effects 1" w:locked="1"/>
    <w:lsdException w:uiPriority="0" w:name="Table 3D effects 2" w:locked="1"/>
    <w:lsdException w:uiPriority="0" w:name="Table 3D effects 3" w:locked="1"/>
    <w:lsdException w:uiPriority="0" w:name="Table Contemporary" w:locked="1"/>
    <w:lsdException w:uiPriority="0" w:name="Table Elegant" w:locked="1"/>
    <w:lsdException w:uiPriority="0" w:name="Table Professional" w:locked="1"/>
    <w:lsdException w:uiPriority="0" w:name="Table Subtle 1" w:locked="1"/>
    <w:lsdException w:uiPriority="0" w:name="Table Subtle 2" w:locked="1"/>
    <w:lsdException w:uiPriority="0" w:name="Table Web 1" w:locked="1"/>
    <w:lsdException w:uiPriority="0" w:name="Table Web 2" w:locked="1"/>
    <w:lsdException w:uiPriority="0" w:name="Table Web 3" w:locked="1"/>
    <w:lsdException w:unhideWhenUsed="0" w:uiPriority="99" w:name="Balloon Text"/>
    <w:lsdException w:unhideWhenUsed="0" w:uiPriority="99" w:semiHidden="0" w:name="Table Grid"/>
    <w:lsdException w:uiPriority="0"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宋体" w:hAnsi="宋体" w:eastAsia="宋体" w:cs="宋体"/>
      <w:kern w:val="2"/>
      <w:sz w:val="24"/>
      <w:szCs w:val="24"/>
      <w:lang w:val="en-US" w:eastAsia="zh-CN" w:bidi="ar-SA"/>
    </w:rPr>
  </w:style>
  <w:style w:type="paragraph" w:styleId="2">
    <w:name w:val="heading 1"/>
    <w:basedOn w:val="1"/>
    <w:next w:val="1"/>
    <w:link w:val="38"/>
    <w:qFormat/>
    <w:uiPriority w:val="99"/>
    <w:pPr>
      <w:keepNext/>
      <w:keepLines/>
      <w:spacing w:before="120" w:after="120" w:line="578" w:lineRule="auto"/>
      <w:jc w:val="center"/>
      <w:outlineLvl w:val="0"/>
    </w:pPr>
    <w:rPr>
      <w:b/>
      <w:bCs/>
      <w:kern w:val="44"/>
      <w:sz w:val="32"/>
      <w:szCs w:val="32"/>
    </w:rPr>
  </w:style>
  <w:style w:type="paragraph" w:styleId="3">
    <w:name w:val="heading 2"/>
    <w:basedOn w:val="1"/>
    <w:next w:val="1"/>
    <w:link w:val="39"/>
    <w:qFormat/>
    <w:uiPriority w:val="99"/>
    <w:pPr>
      <w:keepNext/>
      <w:keepLines/>
      <w:spacing w:before="120" w:after="120" w:line="360" w:lineRule="auto"/>
      <w:outlineLvl w:val="1"/>
    </w:pPr>
    <w:rPr>
      <w:rFonts w:ascii="Arial" w:hAnsi="Arial" w:cs="Arial"/>
      <w:b/>
      <w:bCs/>
      <w:sz w:val="28"/>
      <w:szCs w:val="28"/>
    </w:rPr>
  </w:style>
  <w:style w:type="paragraph" w:styleId="4">
    <w:name w:val="heading 3"/>
    <w:basedOn w:val="1"/>
    <w:next w:val="1"/>
    <w:link w:val="40"/>
    <w:qFormat/>
    <w:uiPriority w:val="99"/>
    <w:pPr>
      <w:keepNext/>
      <w:keepLines/>
      <w:spacing w:before="260" w:after="260" w:line="416" w:lineRule="auto"/>
      <w:outlineLvl w:val="2"/>
    </w:pPr>
    <w:rPr>
      <w:rFonts w:ascii="Times New Roman" w:hAnsi="Times New Roman" w:cs="Times New Roman"/>
      <w:b/>
      <w:bCs/>
      <w:sz w:val="32"/>
      <w:szCs w:val="32"/>
    </w:rPr>
  </w:style>
  <w:style w:type="paragraph" w:styleId="5">
    <w:name w:val="heading 4"/>
    <w:basedOn w:val="1"/>
    <w:next w:val="1"/>
    <w:link w:val="41"/>
    <w:qFormat/>
    <w:uiPriority w:val="99"/>
    <w:pPr>
      <w:keepNext/>
      <w:keepLines/>
      <w:spacing w:before="280" w:after="290" w:line="376" w:lineRule="auto"/>
      <w:outlineLvl w:val="3"/>
    </w:pPr>
    <w:rPr>
      <w:rFonts w:ascii="Arial" w:hAnsi="Arial" w:eastAsia="黑体" w:cs="Arial"/>
      <w:b/>
      <w:bCs/>
      <w:sz w:val="28"/>
      <w:szCs w:val="28"/>
    </w:rPr>
  </w:style>
  <w:style w:type="character" w:default="1" w:styleId="24">
    <w:name w:val="Default Paragraph Font"/>
    <w:unhideWhenUsed/>
    <w:qFormat/>
    <w:uiPriority w:val="1"/>
  </w:style>
  <w:style w:type="table" w:default="1" w:styleId="29">
    <w:name w:val="Normal Table"/>
    <w:unhideWhenUsed/>
    <w:qFormat/>
    <w:uiPriority w:val="99"/>
    <w:tblPr>
      <w:tblLayout w:type="fixed"/>
      <w:tblCellMar>
        <w:top w:w="0" w:type="dxa"/>
        <w:left w:w="108" w:type="dxa"/>
        <w:bottom w:w="0" w:type="dxa"/>
        <w:right w:w="108" w:type="dxa"/>
      </w:tblCellMar>
    </w:tblPr>
    <w:tcPr>
      <w:textDirection w:val="lrTb"/>
    </w:tcPr>
  </w:style>
  <w:style w:type="paragraph" w:styleId="6">
    <w:name w:val="toc 7"/>
    <w:basedOn w:val="1"/>
    <w:next w:val="1"/>
    <w:semiHidden/>
    <w:uiPriority w:val="99"/>
    <w:pPr>
      <w:ind w:left="2520" w:leftChars="1200"/>
    </w:pPr>
  </w:style>
  <w:style w:type="paragraph" w:styleId="7">
    <w:name w:val="Normal Indent"/>
    <w:basedOn w:val="1"/>
    <w:semiHidden/>
    <w:qFormat/>
    <w:uiPriority w:val="99"/>
    <w:pPr>
      <w:ind w:firstLine="420" w:firstLineChars="200"/>
    </w:pPr>
    <w:rPr>
      <w:rFonts w:ascii="Times New Roman" w:hAnsi="Times New Roman" w:cs="Times New Roman"/>
      <w:sz w:val="21"/>
    </w:rPr>
  </w:style>
  <w:style w:type="paragraph" w:styleId="8">
    <w:name w:val="Document Map"/>
    <w:basedOn w:val="1"/>
    <w:link w:val="47"/>
    <w:semiHidden/>
    <w:uiPriority w:val="99"/>
    <w:rPr>
      <w:sz w:val="18"/>
      <w:szCs w:val="18"/>
    </w:rPr>
  </w:style>
  <w:style w:type="paragraph" w:styleId="9">
    <w:name w:val="Body Text Indent"/>
    <w:basedOn w:val="1"/>
    <w:link w:val="46"/>
    <w:qFormat/>
    <w:uiPriority w:val="99"/>
    <w:pPr>
      <w:spacing w:line="360" w:lineRule="auto"/>
      <w:ind w:firstLine="420" w:firstLineChars="200"/>
    </w:pPr>
    <w:rPr>
      <w:rFonts w:ascii="Times New Roman" w:hAnsi="Times New Roman" w:cs="Times New Roman"/>
      <w:sz w:val="21"/>
      <w:szCs w:val="21"/>
    </w:rPr>
  </w:style>
  <w:style w:type="paragraph" w:styleId="10">
    <w:name w:val="toc 5"/>
    <w:basedOn w:val="1"/>
    <w:next w:val="1"/>
    <w:semiHidden/>
    <w:uiPriority w:val="99"/>
    <w:pPr>
      <w:ind w:left="1680" w:leftChars="800"/>
    </w:pPr>
  </w:style>
  <w:style w:type="paragraph" w:styleId="11">
    <w:name w:val="toc 3"/>
    <w:basedOn w:val="1"/>
    <w:next w:val="1"/>
    <w:qFormat/>
    <w:uiPriority w:val="99"/>
    <w:pPr>
      <w:ind w:left="840" w:leftChars="400"/>
    </w:pPr>
  </w:style>
  <w:style w:type="paragraph" w:styleId="12">
    <w:name w:val="toc 8"/>
    <w:basedOn w:val="1"/>
    <w:next w:val="1"/>
    <w:semiHidden/>
    <w:qFormat/>
    <w:uiPriority w:val="99"/>
    <w:pPr>
      <w:ind w:left="2940" w:leftChars="1400"/>
    </w:pPr>
  </w:style>
  <w:style w:type="paragraph" w:styleId="13">
    <w:name w:val="Balloon Text"/>
    <w:basedOn w:val="1"/>
    <w:link w:val="42"/>
    <w:semiHidden/>
    <w:uiPriority w:val="99"/>
    <w:rPr>
      <w:sz w:val="18"/>
      <w:szCs w:val="18"/>
    </w:rPr>
  </w:style>
  <w:style w:type="paragraph" w:styleId="14">
    <w:name w:val="footer"/>
    <w:basedOn w:val="1"/>
    <w:link w:val="45"/>
    <w:uiPriority w:val="99"/>
    <w:pPr>
      <w:tabs>
        <w:tab w:val="center" w:pos="4153"/>
        <w:tab w:val="right" w:pos="8306"/>
      </w:tabs>
      <w:snapToGrid w:val="0"/>
      <w:jc w:val="left"/>
    </w:pPr>
    <w:rPr>
      <w:sz w:val="18"/>
      <w:szCs w:val="18"/>
    </w:rPr>
  </w:style>
  <w:style w:type="paragraph" w:styleId="15">
    <w:name w:val="header"/>
    <w:basedOn w:val="1"/>
    <w:link w:val="44"/>
    <w:qFormat/>
    <w:uiPriority w:val="99"/>
    <w:pPr>
      <w:pBdr>
        <w:bottom w:val="single" w:color="auto" w:sz="6" w:space="1"/>
      </w:pBdr>
      <w:tabs>
        <w:tab w:val="center" w:pos="4153"/>
        <w:tab w:val="right" w:pos="8306"/>
      </w:tabs>
      <w:snapToGrid w:val="0"/>
      <w:jc w:val="center"/>
    </w:pPr>
    <w:rPr>
      <w:sz w:val="18"/>
      <w:szCs w:val="18"/>
    </w:rPr>
  </w:style>
  <w:style w:type="paragraph" w:styleId="16">
    <w:name w:val="toc 1"/>
    <w:basedOn w:val="1"/>
    <w:next w:val="1"/>
    <w:uiPriority w:val="99"/>
  </w:style>
  <w:style w:type="paragraph" w:styleId="17">
    <w:name w:val="toc 4"/>
    <w:basedOn w:val="1"/>
    <w:next w:val="1"/>
    <w:semiHidden/>
    <w:uiPriority w:val="99"/>
    <w:pPr>
      <w:ind w:left="1260" w:leftChars="600"/>
    </w:pPr>
  </w:style>
  <w:style w:type="paragraph" w:styleId="18">
    <w:name w:val="Subtitle"/>
    <w:basedOn w:val="1"/>
    <w:next w:val="1"/>
    <w:link w:val="48"/>
    <w:qFormat/>
    <w:uiPriority w:val="99"/>
    <w:pPr>
      <w:spacing w:before="240" w:after="60" w:line="312" w:lineRule="auto"/>
      <w:jc w:val="center"/>
      <w:outlineLvl w:val="1"/>
    </w:pPr>
    <w:rPr>
      <w:rFonts w:ascii="Cambria" w:hAnsi="Cambria" w:cs="Cambria"/>
      <w:b/>
      <w:bCs/>
      <w:kern w:val="28"/>
      <w:sz w:val="32"/>
      <w:szCs w:val="32"/>
    </w:rPr>
  </w:style>
  <w:style w:type="paragraph" w:styleId="19">
    <w:name w:val="toc 6"/>
    <w:basedOn w:val="1"/>
    <w:next w:val="1"/>
    <w:semiHidden/>
    <w:qFormat/>
    <w:uiPriority w:val="99"/>
    <w:pPr>
      <w:ind w:left="2100" w:leftChars="1000"/>
    </w:pPr>
  </w:style>
  <w:style w:type="paragraph" w:styleId="20">
    <w:name w:val="table of figures"/>
    <w:basedOn w:val="1"/>
    <w:next w:val="1"/>
    <w:semiHidden/>
    <w:qFormat/>
    <w:uiPriority w:val="99"/>
    <w:pPr>
      <w:ind w:left="480" w:hanging="480"/>
      <w:jc w:val="left"/>
    </w:pPr>
    <w:rPr>
      <w:rFonts w:ascii="Times New Roman" w:hAnsi="Times New Roman" w:cs="Times New Roman"/>
      <w:smallCaps/>
      <w:sz w:val="20"/>
      <w:szCs w:val="20"/>
    </w:rPr>
  </w:style>
  <w:style w:type="paragraph" w:styleId="21">
    <w:name w:val="toc 2"/>
    <w:basedOn w:val="1"/>
    <w:next w:val="1"/>
    <w:qFormat/>
    <w:uiPriority w:val="99"/>
    <w:pPr>
      <w:ind w:left="420" w:leftChars="200"/>
    </w:pPr>
  </w:style>
  <w:style w:type="paragraph" w:styleId="22">
    <w:name w:val="toc 9"/>
    <w:basedOn w:val="1"/>
    <w:next w:val="1"/>
    <w:semiHidden/>
    <w:qFormat/>
    <w:uiPriority w:val="99"/>
    <w:pPr>
      <w:ind w:left="3360" w:leftChars="1600"/>
    </w:pPr>
  </w:style>
  <w:style w:type="paragraph" w:styleId="23">
    <w:name w:val="Normal (Web)"/>
    <w:basedOn w:val="1"/>
    <w:qFormat/>
    <w:uiPriority w:val="99"/>
    <w:pPr>
      <w:widowControl/>
      <w:spacing w:before="100" w:beforeAutospacing="1" w:after="100" w:afterAutospacing="1"/>
      <w:jc w:val="left"/>
    </w:pPr>
    <w:rPr>
      <w:kern w:val="0"/>
    </w:rPr>
  </w:style>
  <w:style w:type="character" w:styleId="25">
    <w:name w:val="Strong"/>
    <w:basedOn w:val="24"/>
    <w:qFormat/>
    <w:uiPriority w:val="99"/>
    <w:rPr>
      <w:rFonts w:cs="Times New Roman"/>
      <w:b/>
      <w:bCs/>
    </w:rPr>
  </w:style>
  <w:style w:type="character" w:styleId="26">
    <w:name w:val="page number"/>
    <w:basedOn w:val="24"/>
    <w:qFormat/>
    <w:uiPriority w:val="99"/>
    <w:rPr>
      <w:rFonts w:cs="Times New Roman"/>
    </w:rPr>
  </w:style>
  <w:style w:type="character" w:styleId="27">
    <w:name w:val="FollowedHyperlink"/>
    <w:basedOn w:val="24"/>
    <w:qFormat/>
    <w:uiPriority w:val="99"/>
    <w:rPr>
      <w:rFonts w:cs="Times New Roman"/>
      <w:color w:val="800080"/>
      <w:u w:val="single"/>
    </w:rPr>
  </w:style>
  <w:style w:type="character" w:styleId="28">
    <w:name w:val="Hyperlink"/>
    <w:basedOn w:val="24"/>
    <w:qFormat/>
    <w:uiPriority w:val="99"/>
    <w:rPr>
      <w:rFonts w:cs="Times New Roman"/>
      <w:color w:val="0000FF"/>
      <w:u w:val="single"/>
    </w:rPr>
  </w:style>
  <w:style w:type="table" w:styleId="30">
    <w:name w:val="Table Grid"/>
    <w:basedOn w:val="29"/>
    <w:uiPriority w:val="99"/>
    <w:pPr>
      <w:widowControl w:val="0"/>
      <w:jc w:val="both"/>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cPr>
      <w:textDirection w:val="lrTb"/>
    </w:tcPr>
  </w:style>
  <w:style w:type="paragraph" w:customStyle="1" w:styleId="31">
    <w:name w:val="Char"/>
    <w:basedOn w:val="1"/>
    <w:qFormat/>
    <w:uiPriority w:val="99"/>
    <w:rPr>
      <w:rFonts w:ascii="Times New Roman" w:hAnsi="Times New Roman" w:cs="Times New Roman"/>
      <w:sz w:val="21"/>
      <w:szCs w:val="21"/>
    </w:rPr>
  </w:style>
  <w:style w:type="paragraph" w:customStyle="1" w:styleId="32">
    <w:name w:val="标题1"/>
    <w:basedOn w:val="3"/>
    <w:qFormat/>
    <w:uiPriority w:val="99"/>
    <w:pPr>
      <w:adjustRightInd w:val="0"/>
      <w:snapToGrid w:val="0"/>
      <w:spacing w:before="0" w:after="0"/>
      <w:jc w:val="left"/>
      <w:textAlignment w:val="baseline"/>
    </w:pPr>
    <w:rPr>
      <w:kern w:val="0"/>
      <w:sz w:val="30"/>
      <w:szCs w:val="30"/>
    </w:rPr>
  </w:style>
  <w:style w:type="paragraph" w:customStyle="1" w:styleId="33">
    <w:name w:val="标题2"/>
    <w:basedOn w:val="5"/>
    <w:uiPriority w:val="99"/>
    <w:pPr>
      <w:tabs>
        <w:tab w:val="left" w:pos="1140"/>
      </w:tabs>
      <w:kinsoku w:val="0"/>
      <w:overflowPunct w:val="0"/>
      <w:autoSpaceDE w:val="0"/>
      <w:autoSpaceDN w:val="0"/>
      <w:adjustRightInd w:val="0"/>
      <w:spacing w:before="100" w:beforeAutospacing="1" w:after="100" w:afterAutospacing="1" w:line="360" w:lineRule="auto"/>
      <w:ind w:left="1140" w:hanging="720"/>
      <w:jc w:val="left"/>
      <w:textAlignment w:val="bottom"/>
    </w:pPr>
    <w:rPr>
      <w:rFonts w:ascii="楷体" w:hAnsi="宋体" w:eastAsia="楷体" w:cs="楷体"/>
      <w:kern w:val="0"/>
    </w:rPr>
  </w:style>
  <w:style w:type="paragraph" w:customStyle="1" w:styleId="34">
    <w:name w:val="正文段"/>
    <w:basedOn w:val="1"/>
    <w:qFormat/>
    <w:uiPriority w:val="99"/>
    <w:pPr>
      <w:autoSpaceDE w:val="0"/>
      <w:autoSpaceDN w:val="0"/>
      <w:adjustRightInd w:val="0"/>
      <w:spacing w:after="240" w:line="360" w:lineRule="atLeast"/>
      <w:ind w:firstLine="454"/>
      <w:textAlignment w:val="baseline"/>
    </w:pPr>
    <w:rPr>
      <w:rFonts w:hAnsi="Tms Rmn"/>
      <w:kern w:val="0"/>
    </w:rPr>
  </w:style>
  <w:style w:type="paragraph" w:customStyle="1" w:styleId="35">
    <w:name w:val="CM44"/>
    <w:basedOn w:val="1"/>
    <w:next w:val="1"/>
    <w:uiPriority w:val="99"/>
    <w:pPr>
      <w:autoSpaceDE w:val="0"/>
      <w:autoSpaceDN w:val="0"/>
      <w:adjustRightInd w:val="0"/>
      <w:spacing w:after="178"/>
      <w:jc w:val="left"/>
    </w:pPr>
    <w:rPr>
      <w:rFonts w:ascii="华文新魏" w:hAnsi="华文新魏" w:cs="华文新魏"/>
      <w:kern w:val="0"/>
    </w:rPr>
  </w:style>
  <w:style w:type="paragraph" w:customStyle="1" w:styleId="36">
    <w:name w:val="List Paragraph"/>
    <w:basedOn w:val="1"/>
    <w:qFormat/>
    <w:uiPriority w:val="99"/>
    <w:pPr>
      <w:ind w:firstLine="420" w:firstLineChars="200"/>
    </w:pPr>
    <w:rPr>
      <w:rFonts w:ascii="Times New Roman" w:hAnsi="Times New Roman" w:cs="Times New Roman"/>
      <w:sz w:val="21"/>
      <w:szCs w:val="21"/>
    </w:rPr>
  </w:style>
  <w:style w:type="paragraph" w:customStyle="1" w:styleId="37">
    <w:name w:val="TOC Heading"/>
    <w:basedOn w:val="2"/>
    <w:next w:val="1"/>
    <w:qFormat/>
    <w:uiPriority w:val="99"/>
    <w:pPr>
      <w:widowControl/>
      <w:spacing w:before="480" w:after="0" w:line="276" w:lineRule="auto"/>
      <w:jc w:val="left"/>
      <w:outlineLvl w:val="9"/>
    </w:pPr>
    <w:rPr>
      <w:rFonts w:ascii="Cambria" w:hAnsi="Cambria" w:cs="Times New Roman"/>
      <w:color w:val="365F91"/>
      <w:kern w:val="0"/>
      <w:sz w:val="28"/>
      <w:szCs w:val="28"/>
    </w:rPr>
  </w:style>
  <w:style w:type="character" w:customStyle="1" w:styleId="38">
    <w:name w:val="标题 1 Char"/>
    <w:basedOn w:val="24"/>
    <w:link w:val="2"/>
    <w:locked/>
    <w:uiPriority w:val="99"/>
    <w:rPr>
      <w:rFonts w:ascii="宋体" w:eastAsia="宋体" w:cs="宋体"/>
      <w:b/>
      <w:bCs/>
      <w:kern w:val="44"/>
      <w:sz w:val="32"/>
      <w:szCs w:val="32"/>
    </w:rPr>
  </w:style>
  <w:style w:type="character" w:customStyle="1" w:styleId="39">
    <w:name w:val="标题 2 Char"/>
    <w:basedOn w:val="24"/>
    <w:link w:val="3"/>
    <w:locked/>
    <w:uiPriority w:val="99"/>
    <w:rPr>
      <w:rFonts w:ascii="Arial" w:hAnsi="Arial" w:eastAsia="宋体" w:cs="Arial"/>
      <w:b/>
      <w:bCs/>
      <w:sz w:val="32"/>
      <w:szCs w:val="32"/>
    </w:rPr>
  </w:style>
  <w:style w:type="character" w:customStyle="1" w:styleId="40">
    <w:name w:val="标题 3 Char"/>
    <w:basedOn w:val="24"/>
    <w:link w:val="4"/>
    <w:locked/>
    <w:uiPriority w:val="99"/>
    <w:rPr>
      <w:rFonts w:ascii="Times New Roman" w:hAnsi="Times New Roman" w:eastAsia="宋体" w:cs="Times New Roman"/>
      <w:b/>
      <w:bCs/>
      <w:sz w:val="32"/>
      <w:szCs w:val="32"/>
    </w:rPr>
  </w:style>
  <w:style w:type="character" w:customStyle="1" w:styleId="41">
    <w:name w:val="标题 4 Char"/>
    <w:basedOn w:val="24"/>
    <w:link w:val="5"/>
    <w:locked/>
    <w:uiPriority w:val="99"/>
    <w:rPr>
      <w:rFonts w:ascii="Arial" w:hAnsi="Arial" w:eastAsia="黑体" w:cs="Arial"/>
      <w:b/>
      <w:bCs/>
      <w:sz w:val="28"/>
      <w:szCs w:val="28"/>
    </w:rPr>
  </w:style>
  <w:style w:type="character" w:customStyle="1" w:styleId="42">
    <w:name w:val="批注框文本 Char"/>
    <w:basedOn w:val="24"/>
    <w:link w:val="13"/>
    <w:semiHidden/>
    <w:locked/>
    <w:uiPriority w:val="99"/>
    <w:rPr>
      <w:rFonts w:ascii="宋体" w:hAnsi="宋体" w:eastAsia="宋体" w:cs="宋体"/>
      <w:sz w:val="18"/>
      <w:szCs w:val="18"/>
    </w:rPr>
  </w:style>
  <w:style w:type="character" w:customStyle="1" w:styleId="43">
    <w:name w:val="tdright1"/>
    <w:basedOn w:val="24"/>
    <w:uiPriority w:val="99"/>
    <w:rPr>
      <w:rFonts w:cs="Times New Roman"/>
      <w:sz w:val="18"/>
      <w:szCs w:val="18"/>
      <w:shd w:val="clear" w:color="auto" w:fill="auto"/>
    </w:rPr>
  </w:style>
  <w:style w:type="character" w:customStyle="1" w:styleId="44">
    <w:name w:val="页眉 Char"/>
    <w:basedOn w:val="24"/>
    <w:link w:val="15"/>
    <w:qFormat/>
    <w:locked/>
    <w:uiPriority w:val="99"/>
    <w:rPr>
      <w:rFonts w:ascii="宋体" w:hAnsi="宋体" w:eastAsia="宋体" w:cs="宋体"/>
      <w:sz w:val="18"/>
      <w:szCs w:val="18"/>
    </w:rPr>
  </w:style>
  <w:style w:type="character" w:customStyle="1" w:styleId="45">
    <w:name w:val="页脚 Char"/>
    <w:basedOn w:val="24"/>
    <w:link w:val="14"/>
    <w:locked/>
    <w:uiPriority w:val="99"/>
    <w:rPr>
      <w:rFonts w:ascii="宋体" w:hAnsi="宋体" w:eastAsia="宋体" w:cs="宋体"/>
      <w:sz w:val="18"/>
      <w:szCs w:val="18"/>
    </w:rPr>
  </w:style>
  <w:style w:type="character" w:customStyle="1" w:styleId="46">
    <w:name w:val="正文文本缩进 Char"/>
    <w:basedOn w:val="24"/>
    <w:link w:val="9"/>
    <w:qFormat/>
    <w:locked/>
    <w:uiPriority w:val="99"/>
    <w:rPr>
      <w:rFonts w:ascii="Times New Roman" w:hAnsi="Times New Roman" w:eastAsia="宋体" w:cs="Times New Roman"/>
      <w:sz w:val="24"/>
      <w:szCs w:val="24"/>
    </w:rPr>
  </w:style>
  <w:style w:type="character" w:customStyle="1" w:styleId="47">
    <w:name w:val="文档结构图 Char"/>
    <w:basedOn w:val="24"/>
    <w:link w:val="8"/>
    <w:locked/>
    <w:uiPriority w:val="99"/>
    <w:rPr>
      <w:rFonts w:ascii="宋体" w:hAnsi="宋体" w:eastAsia="宋体" w:cs="宋体"/>
      <w:sz w:val="18"/>
      <w:szCs w:val="18"/>
    </w:rPr>
  </w:style>
  <w:style w:type="character" w:customStyle="1" w:styleId="48">
    <w:name w:val="副标题 Char"/>
    <w:basedOn w:val="24"/>
    <w:link w:val="18"/>
    <w:qFormat/>
    <w:locked/>
    <w:uiPriority w:val="99"/>
    <w:rPr>
      <w:rFonts w:ascii="Cambria" w:hAnsi="Cambria" w:eastAsia="宋体" w:cs="Cambria"/>
      <w:b/>
      <w:bCs/>
      <w:kern w:val="28"/>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emf"/><Relationship Id="rId7" Type="http://schemas.openxmlformats.org/officeDocument/2006/relationships/oleObject" Target="embeddings/oleObject1.bin"/><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0.png"/><Relationship Id="rId15" Type="http://schemas.openxmlformats.org/officeDocument/2006/relationships/image" Target="media/image9.wmf"/><Relationship Id="rId14" Type="http://schemas.openxmlformats.org/officeDocument/2006/relationships/image" Target="media/image8.wmf"/><Relationship Id="rId13" Type="http://schemas.openxmlformats.org/officeDocument/2006/relationships/image" Target="media/image7.wmf"/><Relationship Id="rId12" Type="http://schemas.openxmlformats.org/officeDocument/2006/relationships/image" Target="media/image6.jpeg"/><Relationship Id="rId11" Type="http://schemas.openxmlformats.org/officeDocument/2006/relationships/image" Target="media/image5.wmf"/><Relationship Id="rId10" Type="http://schemas.openxmlformats.org/officeDocument/2006/relationships/image" Target="media/image4.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hyperlink" Target="http://www.china-vcom.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37</Pages>
  <Words>3656</Words>
  <Characters>20843</Characters>
  <Lines>173</Lines>
  <Paragraphs>48</Paragraphs>
  <ScaleCrop>false</ScaleCrop>
  <LinksUpToDate>false</LinksUpToDate>
  <CharactersWithSpaces>0</CharactersWithSpaces>
  <Application>WPS Office_10.1.0.5251_F1E327BC-269C-435d-A152-05C5408002CA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2011-06-26T07:57:00Z</dcterms:created>
  <dc:creator>Microsoft.com</dc:creator>
  <cp:lastModifiedBy>Administrator</cp:lastModifiedBy>
  <dcterms:modified xsi:type="dcterms:W3CDTF">2015-10-10T06:46:12Z</dcterms:modified>
  <dc:title>_x0001_</dc:title>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2052-10.1.0.5251</vt:lpwstr>
  </property>
</Properties>
</file>